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81AAF" w14:textId="77777777" w:rsidR="001F5B07" w:rsidRDefault="001F5B07">
      <w:pPr>
        <w:pStyle w:val="a3"/>
        <w:rPr>
          <w:rFonts w:ascii="Times New Roman"/>
          <w:sz w:val="20"/>
        </w:rPr>
      </w:pPr>
    </w:p>
    <w:p w14:paraId="1F746D37" w14:textId="77777777" w:rsidR="001F5B07" w:rsidRDefault="001F5B07">
      <w:pPr>
        <w:pStyle w:val="a3"/>
        <w:rPr>
          <w:rFonts w:ascii="Times New Roman"/>
          <w:sz w:val="20"/>
        </w:rPr>
      </w:pPr>
    </w:p>
    <w:p w14:paraId="508E8EF4" w14:textId="77777777" w:rsidR="001F5B07" w:rsidRDefault="001F5B07">
      <w:pPr>
        <w:pStyle w:val="a3"/>
        <w:rPr>
          <w:rFonts w:ascii="Times New Roman"/>
          <w:sz w:val="20"/>
        </w:rPr>
      </w:pPr>
    </w:p>
    <w:p w14:paraId="080EF46C" w14:textId="77777777" w:rsidR="001F5B07" w:rsidRDefault="001F5B07">
      <w:pPr>
        <w:pStyle w:val="a3"/>
        <w:spacing w:before="6"/>
        <w:rPr>
          <w:rFonts w:ascii="Times New Roman"/>
          <w:sz w:val="17"/>
        </w:rPr>
      </w:pPr>
    </w:p>
    <w:p w14:paraId="40C3752D" w14:textId="6EB08BC4" w:rsidR="001F5B07" w:rsidRDefault="000A05EA" w:rsidP="00D92E76">
      <w:pPr>
        <w:spacing w:before="36" w:line="482" w:lineRule="auto"/>
        <w:ind w:left="3450" w:right="4329"/>
        <w:jc w:val="center"/>
        <w:rPr>
          <w:rFonts w:ascii="Calibri"/>
          <w:b/>
          <w:sz w:val="32"/>
        </w:rPr>
      </w:pPr>
      <w:r>
        <w:rPr>
          <w:rFonts w:ascii="Calibri"/>
          <w:b/>
          <w:color w:val="FF0000"/>
          <w:sz w:val="32"/>
        </w:rPr>
        <w:t xml:space="preserve">Research Proposal Example </w:t>
      </w:r>
    </w:p>
    <w:p w14:paraId="2573240E" w14:textId="77777777" w:rsidR="001F5B07" w:rsidRDefault="001F5B07">
      <w:pPr>
        <w:pStyle w:val="a3"/>
        <w:rPr>
          <w:b/>
          <w:sz w:val="32"/>
        </w:rPr>
      </w:pPr>
    </w:p>
    <w:p w14:paraId="4D3AE55B" w14:textId="77777777" w:rsidR="001F5B07" w:rsidRDefault="001F5B07">
      <w:pPr>
        <w:pStyle w:val="a3"/>
        <w:rPr>
          <w:b/>
          <w:sz w:val="32"/>
        </w:rPr>
      </w:pPr>
    </w:p>
    <w:p w14:paraId="677DBDB5" w14:textId="77777777" w:rsidR="001F5B07" w:rsidRDefault="001F5B07">
      <w:pPr>
        <w:pStyle w:val="a3"/>
        <w:rPr>
          <w:b/>
          <w:sz w:val="32"/>
        </w:rPr>
      </w:pPr>
    </w:p>
    <w:p w14:paraId="5DE3A6F0" w14:textId="77777777" w:rsidR="001F5B07" w:rsidRDefault="001F5B07">
      <w:pPr>
        <w:pStyle w:val="a3"/>
        <w:rPr>
          <w:b/>
          <w:sz w:val="32"/>
        </w:rPr>
      </w:pPr>
    </w:p>
    <w:p w14:paraId="01882B65" w14:textId="77777777" w:rsidR="001F5B07" w:rsidRDefault="001F5B07">
      <w:pPr>
        <w:pStyle w:val="a3"/>
        <w:rPr>
          <w:b/>
          <w:sz w:val="32"/>
        </w:rPr>
      </w:pPr>
    </w:p>
    <w:p w14:paraId="5FF56BE0" w14:textId="77777777" w:rsidR="001F5B07" w:rsidRDefault="001F5B07">
      <w:pPr>
        <w:pStyle w:val="a3"/>
        <w:rPr>
          <w:b/>
          <w:sz w:val="32"/>
        </w:rPr>
      </w:pPr>
    </w:p>
    <w:p w14:paraId="65385454" w14:textId="77777777" w:rsidR="001F5B07" w:rsidRDefault="001F5B07">
      <w:pPr>
        <w:pStyle w:val="a3"/>
        <w:rPr>
          <w:b/>
          <w:sz w:val="32"/>
        </w:rPr>
      </w:pPr>
    </w:p>
    <w:p w14:paraId="3D080BA8" w14:textId="77777777" w:rsidR="001F5B07" w:rsidRDefault="001F5B07">
      <w:pPr>
        <w:pStyle w:val="a3"/>
        <w:rPr>
          <w:b/>
          <w:sz w:val="32"/>
        </w:rPr>
      </w:pPr>
    </w:p>
    <w:p w14:paraId="78B41082" w14:textId="77777777" w:rsidR="001F5B07" w:rsidRDefault="000A05EA">
      <w:pPr>
        <w:spacing w:before="258" w:line="360" w:lineRule="auto"/>
        <w:ind w:left="491" w:right="1366"/>
        <w:jc w:val="center"/>
        <w:rPr>
          <w:rFonts w:ascii="Calibri"/>
          <w:b/>
          <w:sz w:val="26"/>
        </w:rPr>
      </w:pPr>
      <w:r>
        <w:rPr>
          <w:rFonts w:ascii="Calibri"/>
          <w:b/>
          <w:sz w:val="26"/>
        </w:rPr>
        <w:t>The influence of exchange rate volatility on Foreign Direct Investment (FDI) in Nigeria</w:t>
      </w:r>
    </w:p>
    <w:p w14:paraId="2EEA3B52" w14:textId="77777777" w:rsidR="001F5B07" w:rsidRDefault="001F5B07">
      <w:pPr>
        <w:pStyle w:val="a3"/>
        <w:rPr>
          <w:b/>
          <w:sz w:val="26"/>
        </w:rPr>
      </w:pPr>
    </w:p>
    <w:p w14:paraId="6AF2886F" w14:textId="77777777" w:rsidR="001F5B07" w:rsidRDefault="001F5B07">
      <w:pPr>
        <w:pStyle w:val="a3"/>
        <w:rPr>
          <w:b/>
          <w:sz w:val="26"/>
        </w:rPr>
      </w:pPr>
    </w:p>
    <w:p w14:paraId="75690DBF" w14:textId="77777777" w:rsidR="001F5B07" w:rsidRDefault="001F5B07">
      <w:pPr>
        <w:pStyle w:val="a3"/>
        <w:rPr>
          <w:b/>
          <w:sz w:val="26"/>
        </w:rPr>
      </w:pPr>
    </w:p>
    <w:p w14:paraId="5A41494D" w14:textId="77777777" w:rsidR="001F5B07" w:rsidRDefault="001F5B07">
      <w:pPr>
        <w:pStyle w:val="a3"/>
        <w:rPr>
          <w:b/>
          <w:sz w:val="26"/>
        </w:rPr>
      </w:pPr>
    </w:p>
    <w:p w14:paraId="15A604FD" w14:textId="77777777" w:rsidR="001F5B07" w:rsidRDefault="001F5B07">
      <w:pPr>
        <w:pStyle w:val="a3"/>
        <w:rPr>
          <w:b/>
          <w:sz w:val="26"/>
        </w:rPr>
      </w:pPr>
    </w:p>
    <w:p w14:paraId="1D1A149C" w14:textId="77777777" w:rsidR="001F5B07" w:rsidRDefault="001F5B07">
      <w:pPr>
        <w:pStyle w:val="a3"/>
        <w:rPr>
          <w:b/>
          <w:sz w:val="26"/>
        </w:rPr>
      </w:pPr>
    </w:p>
    <w:p w14:paraId="0C956F14" w14:textId="77777777" w:rsidR="001F5B07" w:rsidRDefault="001F5B07">
      <w:pPr>
        <w:pStyle w:val="a3"/>
        <w:rPr>
          <w:b/>
          <w:sz w:val="26"/>
        </w:rPr>
      </w:pPr>
    </w:p>
    <w:p w14:paraId="5BD313E7" w14:textId="77777777" w:rsidR="001F5B07" w:rsidRDefault="001F5B07">
      <w:pPr>
        <w:pStyle w:val="a3"/>
        <w:spacing w:before="11"/>
        <w:rPr>
          <w:b/>
          <w:sz w:val="37"/>
        </w:rPr>
      </w:pPr>
    </w:p>
    <w:p w14:paraId="4BAF6341" w14:textId="77777777" w:rsidR="001F5B07" w:rsidRDefault="000A05EA">
      <w:pPr>
        <w:pStyle w:val="a3"/>
        <w:ind w:left="160"/>
      </w:pPr>
      <w:r>
        <w:t>Word Count: 3253</w:t>
      </w:r>
    </w:p>
    <w:p w14:paraId="227F8264" w14:textId="77777777" w:rsidR="001F5B07" w:rsidRDefault="001F5B07">
      <w:pPr>
        <w:pStyle w:val="a3"/>
        <w:spacing w:before="4"/>
        <w:rPr>
          <w:sz w:val="27"/>
        </w:rPr>
      </w:pPr>
    </w:p>
    <w:p w14:paraId="10B9FEA3" w14:textId="77777777" w:rsidR="001F5B07" w:rsidRDefault="000A05EA">
      <w:pPr>
        <w:pStyle w:val="a3"/>
        <w:ind w:left="159"/>
      </w:pPr>
      <w:r>
        <w:t>Date: March 2012</w:t>
      </w:r>
    </w:p>
    <w:p w14:paraId="4A6A718E" w14:textId="77777777" w:rsidR="001F5B07" w:rsidRDefault="001F5B07">
      <w:pPr>
        <w:sectPr w:rsidR="001F5B07">
          <w:headerReference w:type="default" r:id="rId7"/>
          <w:footerReference w:type="default" r:id="rId8"/>
          <w:type w:val="continuous"/>
          <w:pgSz w:w="11910" w:h="16840"/>
          <w:pgMar w:top="1180" w:right="400" w:bottom="1280" w:left="1280" w:header="372" w:footer="1098" w:gutter="0"/>
          <w:pgNumType w:start="1"/>
          <w:cols w:space="720"/>
        </w:sectPr>
      </w:pPr>
    </w:p>
    <w:p w14:paraId="70933338" w14:textId="77777777" w:rsidR="001F5B07" w:rsidRDefault="001F5B07">
      <w:pPr>
        <w:pStyle w:val="a3"/>
        <w:spacing w:before="2"/>
        <w:rPr>
          <w:sz w:val="17"/>
        </w:rPr>
      </w:pPr>
    </w:p>
    <w:p w14:paraId="5A20D4FE" w14:textId="77777777" w:rsidR="001F5B07" w:rsidRDefault="000A05EA">
      <w:pPr>
        <w:spacing w:before="43"/>
        <w:ind w:left="160"/>
        <w:rPr>
          <w:rFonts w:ascii="Calibri"/>
          <w:b/>
          <w:sz w:val="28"/>
        </w:rPr>
      </w:pPr>
      <w:r>
        <w:rPr>
          <w:rFonts w:ascii="Calibri"/>
          <w:b/>
          <w:sz w:val="28"/>
        </w:rPr>
        <w:t>Table of Contents</w:t>
      </w:r>
    </w:p>
    <w:bookmarkStart w:id="0" w:name="_Hlk54310096" w:displacedByCustomXml="next"/>
    <w:sdt>
      <w:sdtPr>
        <w:id w:val="1625342653"/>
        <w:docPartObj>
          <w:docPartGallery w:val="Table of Contents"/>
          <w:docPartUnique/>
        </w:docPartObj>
      </w:sdtPr>
      <w:sdtEndPr/>
      <w:sdtContent>
        <w:p w14:paraId="3897F29C" w14:textId="77777777" w:rsidR="001F5B07" w:rsidRDefault="00B138C9">
          <w:pPr>
            <w:pStyle w:val="10"/>
            <w:tabs>
              <w:tab w:val="right" w:leader="dot" w:pos="9173"/>
            </w:tabs>
            <w:spacing w:before="52"/>
          </w:pPr>
          <w:hyperlink w:anchor="_bookmark0" w:history="1">
            <w:r w:rsidR="000A05EA" w:rsidRPr="000073A0">
              <w:rPr>
                <w:b/>
                <w:bCs/>
              </w:rPr>
              <w:t>Introduction</w:t>
            </w:r>
            <w:r w:rsidR="000A05EA">
              <w:rPr>
                <w:rFonts w:ascii="Times New Roman"/>
              </w:rPr>
              <w:tab/>
            </w:r>
            <w:r w:rsidR="000A05EA">
              <w:t>3</w:t>
            </w:r>
          </w:hyperlink>
        </w:p>
        <w:p w14:paraId="38431873" w14:textId="77777777" w:rsidR="001F5B07" w:rsidRDefault="00B138C9">
          <w:pPr>
            <w:pStyle w:val="10"/>
            <w:tabs>
              <w:tab w:val="right" w:leader="dot" w:pos="9175"/>
            </w:tabs>
            <w:spacing w:before="139"/>
          </w:pPr>
          <w:hyperlink w:anchor="_bookmark1" w:history="1">
            <w:r w:rsidR="000A05EA" w:rsidRPr="000073A0">
              <w:rPr>
                <w:b/>
                <w:bCs/>
              </w:rPr>
              <w:t>Aim</w:t>
            </w:r>
            <w:r w:rsidR="000A05EA" w:rsidRPr="000073A0">
              <w:rPr>
                <w:b/>
                <w:bCs/>
                <w:spacing w:val="-2"/>
              </w:rPr>
              <w:t xml:space="preserve"> </w:t>
            </w:r>
            <w:r w:rsidR="000A05EA" w:rsidRPr="000073A0">
              <w:rPr>
                <w:b/>
                <w:bCs/>
              </w:rPr>
              <w:t>and</w:t>
            </w:r>
            <w:r w:rsidR="000A05EA" w:rsidRPr="000073A0">
              <w:rPr>
                <w:b/>
                <w:bCs/>
                <w:spacing w:val="-1"/>
              </w:rPr>
              <w:t xml:space="preserve"> </w:t>
            </w:r>
            <w:r w:rsidR="000A05EA" w:rsidRPr="000073A0">
              <w:rPr>
                <w:b/>
                <w:bCs/>
              </w:rPr>
              <w:t>Objectives</w:t>
            </w:r>
            <w:r w:rsidR="000A05EA">
              <w:rPr>
                <w:rFonts w:ascii="Times New Roman"/>
              </w:rPr>
              <w:tab/>
            </w:r>
            <w:r w:rsidR="000A05EA">
              <w:t>4</w:t>
            </w:r>
          </w:hyperlink>
        </w:p>
        <w:p w14:paraId="06F55656" w14:textId="77777777" w:rsidR="001F5B07" w:rsidRDefault="00B138C9">
          <w:pPr>
            <w:pStyle w:val="10"/>
            <w:tabs>
              <w:tab w:val="right" w:leader="dot" w:pos="9162"/>
            </w:tabs>
          </w:pPr>
          <w:hyperlink w:anchor="_bookmark2" w:history="1">
            <w:r w:rsidR="000A05EA" w:rsidRPr="000073A0">
              <w:rPr>
                <w:b/>
                <w:bCs/>
              </w:rPr>
              <w:t>Key</w:t>
            </w:r>
            <w:r w:rsidR="000A05EA" w:rsidRPr="000073A0">
              <w:rPr>
                <w:b/>
                <w:bCs/>
                <w:spacing w:val="-1"/>
              </w:rPr>
              <w:t xml:space="preserve"> </w:t>
            </w:r>
            <w:r w:rsidR="000A05EA" w:rsidRPr="000073A0">
              <w:rPr>
                <w:b/>
                <w:bCs/>
              </w:rPr>
              <w:t>Literature</w:t>
            </w:r>
            <w:r w:rsidR="000A05EA" w:rsidRPr="000073A0">
              <w:rPr>
                <w:b/>
                <w:bCs/>
                <w:spacing w:val="-1"/>
              </w:rPr>
              <w:t xml:space="preserve"> </w:t>
            </w:r>
            <w:r w:rsidR="000A05EA" w:rsidRPr="000073A0">
              <w:rPr>
                <w:b/>
                <w:bCs/>
              </w:rPr>
              <w:t>Review</w:t>
            </w:r>
            <w:r w:rsidR="000A05EA">
              <w:rPr>
                <w:rFonts w:ascii="Times New Roman"/>
              </w:rPr>
              <w:tab/>
            </w:r>
            <w:r w:rsidR="000A05EA">
              <w:t>5</w:t>
            </w:r>
          </w:hyperlink>
        </w:p>
        <w:p w14:paraId="36C143C9" w14:textId="44890305" w:rsidR="00560527" w:rsidRDefault="00560527">
          <w:pPr>
            <w:pStyle w:val="20"/>
            <w:tabs>
              <w:tab w:val="right" w:leader="dot" w:pos="9173"/>
            </w:tabs>
            <w:spacing w:before="139"/>
          </w:pPr>
          <w:r w:rsidRPr="00560527">
            <w:t>Significance and scope of the study</w:t>
          </w:r>
          <w:r>
            <w:t>……………………………………………………………………….</w:t>
          </w:r>
        </w:p>
        <w:p w14:paraId="0CFDD985" w14:textId="68E510C5" w:rsidR="001F5B07" w:rsidRDefault="00B138C9">
          <w:pPr>
            <w:pStyle w:val="20"/>
            <w:tabs>
              <w:tab w:val="right" w:leader="dot" w:pos="9173"/>
            </w:tabs>
            <w:spacing w:before="139"/>
          </w:pPr>
          <w:hyperlink w:anchor="_bookmark3" w:history="1">
            <w:r w:rsidR="000A05EA">
              <w:t>Key</w:t>
            </w:r>
            <w:r w:rsidR="000A05EA">
              <w:rPr>
                <w:spacing w:val="-1"/>
              </w:rPr>
              <w:t xml:space="preserve"> </w:t>
            </w:r>
            <w:r w:rsidR="000A05EA">
              <w:t>Words</w:t>
            </w:r>
            <w:r w:rsidR="000A05EA">
              <w:rPr>
                <w:rFonts w:ascii="Times New Roman"/>
              </w:rPr>
              <w:tab/>
            </w:r>
            <w:r w:rsidR="000A05EA">
              <w:t>5</w:t>
            </w:r>
          </w:hyperlink>
        </w:p>
        <w:p w14:paraId="018E6BBF" w14:textId="77777777" w:rsidR="001F5B07" w:rsidRDefault="00B138C9">
          <w:pPr>
            <w:pStyle w:val="20"/>
            <w:tabs>
              <w:tab w:val="right" w:leader="dot" w:pos="9173"/>
            </w:tabs>
          </w:pPr>
          <w:hyperlink w:anchor="_bookmark3" w:history="1">
            <w:r w:rsidR="000A05EA">
              <w:t>Literature</w:t>
            </w:r>
            <w:r w:rsidR="000A05EA">
              <w:rPr>
                <w:rFonts w:ascii="Times New Roman"/>
              </w:rPr>
              <w:tab/>
            </w:r>
            <w:r w:rsidR="000A05EA">
              <w:t>6</w:t>
            </w:r>
          </w:hyperlink>
        </w:p>
        <w:p w14:paraId="4FC81E7E" w14:textId="77777777" w:rsidR="001F5B07" w:rsidRDefault="00B138C9">
          <w:pPr>
            <w:pStyle w:val="10"/>
            <w:tabs>
              <w:tab w:val="right" w:leader="dot" w:pos="9174"/>
            </w:tabs>
          </w:pPr>
          <w:hyperlink w:anchor="_bookmark4" w:history="1">
            <w:r w:rsidR="000A05EA" w:rsidRPr="000073A0">
              <w:rPr>
                <w:b/>
                <w:bCs/>
              </w:rPr>
              <w:t>Research</w:t>
            </w:r>
            <w:r w:rsidR="000A05EA" w:rsidRPr="000073A0">
              <w:rPr>
                <w:b/>
                <w:bCs/>
                <w:spacing w:val="-1"/>
              </w:rPr>
              <w:t xml:space="preserve"> </w:t>
            </w:r>
            <w:r w:rsidR="000A05EA" w:rsidRPr="000073A0">
              <w:rPr>
                <w:b/>
                <w:bCs/>
              </w:rPr>
              <w:t>Design</w:t>
            </w:r>
            <w:r w:rsidR="000A05EA">
              <w:rPr>
                <w:rFonts w:ascii="Times New Roman"/>
              </w:rPr>
              <w:tab/>
            </w:r>
            <w:r w:rsidR="000A05EA">
              <w:t>8</w:t>
            </w:r>
          </w:hyperlink>
        </w:p>
        <w:p w14:paraId="4B46AE63" w14:textId="77777777" w:rsidR="001F5B07" w:rsidRDefault="00B138C9">
          <w:pPr>
            <w:pStyle w:val="20"/>
            <w:tabs>
              <w:tab w:val="right" w:leader="dot" w:pos="9163"/>
            </w:tabs>
            <w:spacing w:before="139"/>
          </w:pPr>
          <w:hyperlink w:anchor="_bookmark5" w:history="1">
            <w:r w:rsidR="000A05EA">
              <w:t>Data</w:t>
            </w:r>
            <w:r w:rsidR="000A05EA">
              <w:rPr>
                <w:spacing w:val="-1"/>
              </w:rPr>
              <w:t xml:space="preserve"> </w:t>
            </w:r>
            <w:r w:rsidR="000A05EA">
              <w:t>Collection</w:t>
            </w:r>
            <w:r w:rsidR="000A05EA">
              <w:rPr>
                <w:spacing w:val="-2"/>
              </w:rPr>
              <w:t xml:space="preserve"> </w:t>
            </w:r>
            <w:r w:rsidR="000A05EA">
              <w:t>methods</w:t>
            </w:r>
            <w:r w:rsidR="000A05EA">
              <w:rPr>
                <w:rFonts w:ascii="Times New Roman"/>
              </w:rPr>
              <w:tab/>
            </w:r>
            <w:r w:rsidR="000A05EA">
              <w:t>9</w:t>
            </w:r>
          </w:hyperlink>
        </w:p>
        <w:p w14:paraId="719CFB28" w14:textId="77777777" w:rsidR="001F5B07" w:rsidRDefault="00B138C9">
          <w:pPr>
            <w:pStyle w:val="20"/>
            <w:tabs>
              <w:tab w:val="right" w:leader="dot" w:pos="9174"/>
            </w:tabs>
          </w:pPr>
          <w:hyperlink w:anchor="_bookmark6" w:history="1">
            <w:r w:rsidR="000A05EA">
              <w:t>Ethical</w:t>
            </w:r>
            <w:r w:rsidR="000A05EA">
              <w:rPr>
                <w:spacing w:val="-2"/>
              </w:rPr>
              <w:t xml:space="preserve"> </w:t>
            </w:r>
            <w:r w:rsidR="000A05EA">
              <w:t>Issues</w:t>
            </w:r>
            <w:r w:rsidR="000A05EA">
              <w:rPr>
                <w:rFonts w:ascii="Times New Roman"/>
              </w:rPr>
              <w:tab/>
            </w:r>
            <w:r w:rsidR="000A05EA">
              <w:t>10</w:t>
            </w:r>
          </w:hyperlink>
        </w:p>
        <w:p w14:paraId="2E5C1CA7" w14:textId="77777777" w:rsidR="001F5B07" w:rsidRDefault="00B138C9">
          <w:pPr>
            <w:pStyle w:val="10"/>
            <w:tabs>
              <w:tab w:val="right" w:leader="dot" w:pos="9174"/>
            </w:tabs>
          </w:pPr>
          <w:hyperlink w:anchor="_bookmark6" w:history="1">
            <w:r w:rsidR="000A05EA" w:rsidRPr="000073A0">
              <w:rPr>
                <w:b/>
                <w:bCs/>
              </w:rPr>
              <w:t>Research</w:t>
            </w:r>
            <w:r w:rsidR="000A05EA" w:rsidRPr="000073A0">
              <w:rPr>
                <w:b/>
                <w:bCs/>
                <w:spacing w:val="-1"/>
              </w:rPr>
              <w:t xml:space="preserve"> </w:t>
            </w:r>
            <w:r w:rsidR="000A05EA" w:rsidRPr="000073A0">
              <w:rPr>
                <w:b/>
                <w:bCs/>
              </w:rPr>
              <w:t>Plan</w:t>
            </w:r>
            <w:r w:rsidR="000A05EA">
              <w:rPr>
                <w:rFonts w:ascii="Times New Roman"/>
              </w:rPr>
              <w:tab/>
            </w:r>
            <w:r w:rsidR="000A05EA">
              <w:t>10</w:t>
            </w:r>
          </w:hyperlink>
        </w:p>
        <w:p w14:paraId="1EC3F488" w14:textId="77777777" w:rsidR="001F5B07" w:rsidRDefault="00B138C9">
          <w:pPr>
            <w:pStyle w:val="20"/>
            <w:tabs>
              <w:tab w:val="right" w:leader="dot" w:pos="9162"/>
            </w:tabs>
          </w:pPr>
          <w:hyperlink w:anchor="_bookmark6" w:history="1">
            <w:r w:rsidR="000A05EA">
              <w:t>Organization of</w:t>
            </w:r>
            <w:r w:rsidR="000A05EA">
              <w:rPr>
                <w:spacing w:val="-2"/>
              </w:rPr>
              <w:t xml:space="preserve"> </w:t>
            </w:r>
            <w:r w:rsidR="000A05EA">
              <w:t>the</w:t>
            </w:r>
            <w:r w:rsidR="000A05EA">
              <w:rPr>
                <w:spacing w:val="-2"/>
              </w:rPr>
              <w:t xml:space="preserve"> </w:t>
            </w:r>
            <w:r w:rsidR="000A05EA">
              <w:t>study</w:t>
            </w:r>
            <w:r w:rsidR="000A05EA">
              <w:rPr>
                <w:rFonts w:ascii="Times New Roman"/>
              </w:rPr>
              <w:tab/>
            </w:r>
            <w:r w:rsidR="000A05EA">
              <w:t>10</w:t>
            </w:r>
          </w:hyperlink>
        </w:p>
        <w:p w14:paraId="5E88D248" w14:textId="77777777" w:rsidR="001F5B07" w:rsidRDefault="00B138C9">
          <w:pPr>
            <w:pStyle w:val="20"/>
            <w:tabs>
              <w:tab w:val="right" w:leader="dot" w:pos="9174"/>
            </w:tabs>
            <w:spacing w:before="139"/>
          </w:pPr>
          <w:hyperlink w:anchor="_bookmark6" w:history="1">
            <w:r w:rsidR="000A05EA">
              <w:t>Project</w:t>
            </w:r>
            <w:r w:rsidR="000A05EA">
              <w:rPr>
                <w:spacing w:val="-2"/>
              </w:rPr>
              <w:t xml:space="preserve"> </w:t>
            </w:r>
            <w:r w:rsidR="000A05EA">
              <w:t>Plan</w:t>
            </w:r>
            <w:r w:rsidR="000A05EA">
              <w:rPr>
                <w:rFonts w:ascii="Times New Roman"/>
              </w:rPr>
              <w:tab/>
            </w:r>
            <w:r w:rsidR="000A05EA">
              <w:t>10</w:t>
            </w:r>
          </w:hyperlink>
        </w:p>
        <w:p w14:paraId="41F7FBEF" w14:textId="77777777" w:rsidR="001F5B07" w:rsidRDefault="00B138C9">
          <w:pPr>
            <w:pStyle w:val="10"/>
            <w:tabs>
              <w:tab w:val="right" w:leader="dot" w:pos="9163"/>
            </w:tabs>
          </w:pPr>
          <w:hyperlink w:anchor="_bookmark7" w:history="1">
            <w:r w:rsidR="000A05EA" w:rsidRPr="000073A0">
              <w:rPr>
                <w:b/>
                <w:bCs/>
              </w:rPr>
              <w:t>References</w:t>
            </w:r>
            <w:r w:rsidR="000A05EA" w:rsidRPr="000073A0">
              <w:rPr>
                <w:b/>
                <w:bCs/>
                <w:spacing w:val="-2"/>
              </w:rPr>
              <w:t xml:space="preserve"> </w:t>
            </w:r>
            <w:r w:rsidR="000A05EA" w:rsidRPr="000073A0">
              <w:rPr>
                <w:b/>
                <w:bCs/>
              </w:rPr>
              <w:t>and</w:t>
            </w:r>
            <w:r w:rsidR="000A05EA" w:rsidRPr="000073A0">
              <w:rPr>
                <w:b/>
                <w:bCs/>
                <w:spacing w:val="-2"/>
              </w:rPr>
              <w:t xml:space="preserve"> </w:t>
            </w:r>
            <w:r w:rsidR="000A05EA" w:rsidRPr="000073A0">
              <w:rPr>
                <w:b/>
                <w:bCs/>
              </w:rPr>
              <w:t>Bibliography</w:t>
            </w:r>
            <w:r w:rsidR="000A05EA">
              <w:rPr>
                <w:rFonts w:ascii="Times New Roman"/>
              </w:rPr>
              <w:tab/>
            </w:r>
            <w:r w:rsidR="000A05EA">
              <w:t>13</w:t>
            </w:r>
          </w:hyperlink>
        </w:p>
      </w:sdtContent>
    </w:sdt>
    <w:bookmarkEnd w:id="0" w:displacedByCustomXml="prev"/>
    <w:p w14:paraId="6188C941" w14:textId="77777777" w:rsidR="001F5B07" w:rsidRDefault="001F5B07">
      <w:pPr>
        <w:sectPr w:rsidR="001F5B07">
          <w:pgSz w:w="11910" w:h="16840"/>
          <w:pgMar w:top="1180" w:right="400" w:bottom="1280" w:left="1280" w:header="372" w:footer="1098" w:gutter="0"/>
          <w:cols w:space="720"/>
        </w:sectPr>
      </w:pPr>
    </w:p>
    <w:p w14:paraId="579D9CC0" w14:textId="77777777" w:rsidR="001F5B07" w:rsidRDefault="001F5B07">
      <w:pPr>
        <w:pStyle w:val="a3"/>
        <w:rPr>
          <w:sz w:val="28"/>
        </w:rPr>
      </w:pPr>
    </w:p>
    <w:p w14:paraId="54935F4B" w14:textId="77777777" w:rsidR="001F5B07" w:rsidRDefault="001F5B07">
      <w:pPr>
        <w:pStyle w:val="a3"/>
        <w:rPr>
          <w:sz w:val="28"/>
        </w:rPr>
      </w:pPr>
    </w:p>
    <w:p w14:paraId="34BBAF84" w14:textId="77777777" w:rsidR="001F5B07" w:rsidRDefault="001F5B07">
      <w:pPr>
        <w:pStyle w:val="a3"/>
        <w:spacing w:before="11"/>
        <w:rPr>
          <w:sz w:val="34"/>
        </w:rPr>
      </w:pPr>
    </w:p>
    <w:p w14:paraId="1F492AAE" w14:textId="77777777" w:rsidR="001F5B07" w:rsidRDefault="000A05EA">
      <w:pPr>
        <w:pStyle w:val="1"/>
        <w:spacing w:before="0"/>
      </w:pPr>
      <w:bookmarkStart w:id="1" w:name="Introduction"/>
      <w:bookmarkStart w:id="2" w:name="_bookmark0"/>
      <w:bookmarkEnd w:id="1"/>
      <w:bookmarkEnd w:id="2"/>
      <w:r>
        <w:t>Introduction</w:t>
      </w:r>
    </w:p>
    <w:p w14:paraId="54F712E0" w14:textId="77777777" w:rsidR="001F5B07" w:rsidRDefault="000A05EA">
      <w:pPr>
        <w:pStyle w:val="a3"/>
        <w:spacing w:before="52" w:line="360" w:lineRule="auto"/>
        <w:ind w:left="160" w:right="1094" w:hanging="1"/>
      </w:pPr>
      <w:r>
        <w:t xml:space="preserve">The importance of Foreign Direct Investments (FDI) inflows in a country cannot be over emphasized, many research </w:t>
      </w:r>
      <w:proofErr w:type="gramStart"/>
      <w:r>
        <w:t>work</w:t>
      </w:r>
      <w:proofErr w:type="gramEnd"/>
      <w:r>
        <w:t xml:space="preserve"> have been carried out from the 1970’s when Multinational Enterprises (MNE) began to explore business opportunities in other developed countries and then to emerging or developing economies (Morrison 2006). For most developing countries as seen in the case of Nigeria, there has been a direct correlation of FDI inflows to the GDP of the county (Udoh &amp; </w:t>
      </w:r>
      <w:proofErr w:type="spellStart"/>
      <w:r>
        <w:t>Egwaikhide</w:t>
      </w:r>
      <w:proofErr w:type="spellEnd"/>
      <w:r>
        <w:t>, 2008). The Government of many developing countries have in a bid to attract investors and encourage FDI inflow introduced several economic policies on taxes, inflation and exchange rates (</w:t>
      </w:r>
      <w:proofErr w:type="spellStart"/>
      <w:r>
        <w:t>Basu</w:t>
      </w:r>
      <w:proofErr w:type="spellEnd"/>
      <w:r>
        <w:t xml:space="preserve"> and Srinivasan, 2002). Furthermore, many governments have worked on infrastructural development to facilitate MNE’s to invest in their countries (Kalu, 2010).</w:t>
      </w:r>
    </w:p>
    <w:p w14:paraId="259C0806" w14:textId="77777777" w:rsidR="001F5B07" w:rsidRDefault="001F5B07">
      <w:pPr>
        <w:pStyle w:val="a3"/>
        <w:spacing w:before="4"/>
        <w:rPr>
          <w:sz w:val="16"/>
        </w:rPr>
      </w:pPr>
    </w:p>
    <w:p w14:paraId="6DEC9030" w14:textId="77777777" w:rsidR="001F5B07" w:rsidRDefault="000A05EA">
      <w:pPr>
        <w:pStyle w:val="a3"/>
        <w:spacing w:line="360" w:lineRule="auto"/>
        <w:ind w:left="160" w:right="1129" w:hanging="1"/>
      </w:pPr>
      <w:r>
        <w:t>Several researches have buttressed the key factors influencing MNE’s decision to invest in a country as; Exchange Rate Effects or Exchange rate fluctuations which can complicate the investment decisions of international firms, the Tax regimes in potential host country, the quality of institutions available in the host country that guarantee long‐term security of property rights, Trade protection and trade effects (</w:t>
      </w:r>
      <w:proofErr w:type="spellStart"/>
      <w:r>
        <w:t>Blonigen</w:t>
      </w:r>
      <w:proofErr w:type="spellEnd"/>
      <w:r>
        <w:t>, 2005; Abbott, et al., 2012).</w:t>
      </w:r>
    </w:p>
    <w:p w14:paraId="2764829E" w14:textId="77777777" w:rsidR="001F5B07" w:rsidRDefault="001F5B07">
      <w:pPr>
        <w:pStyle w:val="a3"/>
        <w:spacing w:before="4"/>
        <w:rPr>
          <w:sz w:val="16"/>
        </w:rPr>
      </w:pPr>
    </w:p>
    <w:p w14:paraId="55F3A091" w14:textId="77777777" w:rsidR="001F5B07" w:rsidRDefault="000A05EA">
      <w:pPr>
        <w:pStyle w:val="a3"/>
        <w:spacing w:line="360" w:lineRule="auto"/>
        <w:ind w:left="160" w:right="1036" w:hanging="1"/>
      </w:pPr>
      <w:r>
        <w:t xml:space="preserve">In the case Nigeria, the history and evolution of FDI began in the 1970s where the policy push of government was to reduce foreign investment in the country through the Nigerian Enterprises Promotion Decree (NEPD) promulgated in 1972 (amended in 1977). The NEPD, which was locally known as </w:t>
      </w:r>
      <w:proofErr w:type="spellStart"/>
      <w:r>
        <w:t>indigenisation</w:t>
      </w:r>
      <w:proofErr w:type="spellEnd"/>
      <w:r>
        <w:t xml:space="preserve"> policy, regulated FDI inflows in the country. The government at the time implemented a cap to a maximum of 60% of foreign participation in firms doing business in the country. This obviously resulted in a decline in foreign investment and reduced the pace of economic activities in all sectors of the economy. The global recession of the early 1980s set off periods of macroeconomic instability with implications of further drop in foreign direct investment inflows in the country (Mimiko, 1995; Udoh &amp; </w:t>
      </w:r>
      <w:proofErr w:type="spellStart"/>
      <w:r>
        <w:t>Egwaikhide</w:t>
      </w:r>
      <w:proofErr w:type="spellEnd"/>
      <w:r>
        <w:t>, 2008).</w:t>
      </w:r>
    </w:p>
    <w:p w14:paraId="7E63CB37" w14:textId="77777777" w:rsidR="001F5B07" w:rsidRDefault="001F5B07">
      <w:pPr>
        <w:pStyle w:val="a3"/>
        <w:spacing w:before="4"/>
        <w:rPr>
          <w:sz w:val="16"/>
        </w:rPr>
      </w:pPr>
    </w:p>
    <w:p w14:paraId="5577F670" w14:textId="77777777" w:rsidR="001F5B07" w:rsidRDefault="000A05EA">
      <w:pPr>
        <w:pStyle w:val="a3"/>
        <w:spacing w:line="360" w:lineRule="auto"/>
        <w:ind w:left="160" w:right="1108" w:hanging="1"/>
      </w:pPr>
      <w:r>
        <w:t xml:space="preserve">In an attempt to turn things around and create a suitable climate for investment and growth in the economy, the Nigerian Government introduced the Structural Adjustment </w:t>
      </w:r>
      <w:proofErr w:type="spellStart"/>
      <w:r>
        <w:t>Programme</w:t>
      </w:r>
      <w:proofErr w:type="spellEnd"/>
      <w:r>
        <w:t xml:space="preserve"> (SAP) in July 1986. The </w:t>
      </w:r>
      <w:proofErr w:type="spellStart"/>
      <w:r>
        <w:t>programme</w:t>
      </w:r>
      <w:proofErr w:type="spellEnd"/>
      <w:r>
        <w:t xml:space="preserve"> incorporated trade and exchange reforms and was further reinforced by the implementation of stringent monetary and fiscal measures. The implementation of SAP was expected to bring about some improvements in the economy. For instance, the sharp exchange rate depreciation was expected to discourage importation, make export‐oriented multinationals gain on their investment and make Nigeria a potential investors haven (Udoh &amp; </w:t>
      </w:r>
      <w:proofErr w:type="spellStart"/>
      <w:r>
        <w:t>Egwaikhide</w:t>
      </w:r>
      <w:proofErr w:type="spellEnd"/>
      <w:r>
        <w:t>, 2008).</w:t>
      </w:r>
    </w:p>
    <w:p w14:paraId="76361175" w14:textId="77777777" w:rsidR="001F5B07" w:rsidRDefault="001F5B07">
      <w:pPr>
        <w:spacing w:line="360" w:lineRule="auto"/>
        <w:sectPr w:rsidR="001F5B07">
          <w:pgSz w:w="11910" w:h="16840"/>
          <w:pgMar w:top="1180" w:right="400" w:bottom="1280" w:left="1280" w:header="372" w:footer="1098" w:gutter="0"/>
          <w:cols w:space="720"/>
        </w:sectPr>
      </w:pPr>
    </w:p>
    <w:p w14:paraId="1348AF7D" w14:textId="77777777" w:rsidR="001F5B07" w:rsidRDefault="001F5B07">
      <w:pPr>
        <w:pStyle w:val="a3"/>
        <w:spacing w:before="3"/>
        <w:rPr>
          <w:sz w:val="16"/>
        </w:rPr>
      </w:pPr>
    </w:p>
    <w:p w14:paraId="66811D28" w14:textId="77777777" w:rsidR="001F5B07" w:rsidRDefault="000A05EA">
      <w:pPr>
        <w:pStyle w:val="a3"/>
        <w:spacing w:before="55" w:line="360" w:lineRule="auto"/>
        <w:ind w:left="160" w:right="1078" w:hanging="1"/>
      </w:pPr>
      <w:bookmarkStart w:id="3" w:name="_bookmark1"/>
      <w:bookmarkEnd w:id="3"/>
      <w:r>
        <w:t xml:space="preserve">The exchange rates in the country have had a very high degree of fluctuation since the introduction of SAP. Some studies have drawn conclusions that the devaluation of Nigeria’s currency during the SAP implementation and the consequent exchange rate fluctuations has had significant impact on FDI inflows in Nigeria (Udoh &amp; </w:t>
      </w:r>
      <w:proofErr w:type="spellStart"/>
      <w:r>
        <w:t>Egwaikhide</w:t>
      </w:r>
      <w:proofErr w:type="spellEnd"/>
      <w:r>
        <w:t>, 2008). Despite the arguments made in previous studies it is difficult to ascertain the direct impact exchange rates fluctuation alone has had on FDI inflows in the country going by the fact that exchange rate effects are just one of the determinant factors influencing MNE’s decision to invest.</w:t>
      </w:r>
    </w:p>
    <w:p w14:paraId="02488411" w14:textId="77777777" w:rsidR="001F5B07" w:rsidRDefault="001F5B07">
      <w:pPr>
        <w:pStyle w:val="a3"/>
        <w:spacing w:before="5"/>
        <w:rPr>
          <w:sz w:val="16"/>
        </w:rPr>
      </w:pPr>
    </w:p>
    <w:p w14:paraId="32FF2F4F" w14:textId="77777777" w:rsidR="001F5B07" w:rsidRDefault="000A05EA">
      <w:pPr>
        <w:pStyle w:val="a3"/>
        <w:spacing w:line="360" w:lineRule="auto"/>
        <w:ind w:left="159" w:right="1171"/>
      </w:pPr>
      <w:r>
        <w:t xml:space="preserve">This research work will aim at examining the various factors affecting FDI inflows to the country while emphasizing of exchange rate as a major determinant factor. This research will give a clear understanding of the relationship exchange rate fluctuations has on FDI inflows in the country. </w:t>
      </w:r>
      <w:proofErr w:type="gramStart"/>
      <w:r>
        <w:t>Finally</w:t>
      </w:r>
      <w:proofErr w:type="gramEnd"/>
      <w:r>
        <w:t xml:space="preserve"> this research work will ascertain whether the exchange rate regime in the last 25years (1985</w:t>
      </w:r>
    </w:p>
    <w:p w14:paraId="02C6A6D9" w14:textId="77777777" w:rsidR="001F5B07" w:rsidRDefault="000A05EA">
      <w:pPr>
        <w:pStyle w:val="a4"/>
        <w:numPr>
          <w:ilvl w:val="0"/>
          <w:numId w:val="4"/>
        </w:numPr>
        <w:tabs>
          <w:tab w:val="left" w:pos="320"/>
        </w:tabs>
        <w:spacing w:before="0" w:line="360" w:lineRule="auto"/>
        <w:ind w:right="1101" w:hanging="1"/>
      </w:pPr>
      <w:r>
        <w:t>2010). The research analyses data from 1985 which is the year before SAP was introduced and will end at 2010 when the last audited reports were released by the Central Bank of Nigeria (CBN). The outcome of the hypothesis will give an understanding on whether exchange rate fluctuation has had a discernible effect on Nigeria’s FDI inflow and will ascertain the degree of impact it has had on FDI inflow.</w:t>
      </w:r>
    </w:p>
    <w:p w14:paraId="19FB7F58" w14:textId="77777777" w:rsidR="001F5B07" w:rsidRDefault="001F5B07">
      <w:pPr>
        <w:pStyle w:val="a3"/>
      </w:pPr>
    </w:p>
    <w:p w14:paraId="60510266" w14:textId="77777777" w:rsidR="001F5B07" w:rsidRDefault="001F5B07">
      <w:pPr>
        <w:pStyle w:val="a3"/>
        <w:spacing w:before="3"/>
        <w:rPr>
          <w:sz w:val="17"/>
        </w:rPr>
      </w:pPr>
    </w:p>
    <w:p w14:paraId="1ED5F313" w14:textId="77777777" w:rsidR="001F5B07" w:rsidRDefault="000A05EA">
      <w:pPr>
        <w:pStyle w:val="1"/>
        <w:spacing w:before="0"/>
      </w:pPr>
      <w:bookmarkStart w:id="4" w:name="Aim_and_Objectives"/>
      <w:bookmarkEnd w:id="4"/>
      <w:r>
        <w:t>Aim and Objectives</w:t>
      </w:r>
    </w:p>
    <w:p w14:paraId="10DAE896" w14:textId="77777777" w:rsidR="001F5B07" w:rsidRDefault="000A05EA">
      <w:pPr>
        <w:pStyle w:val="a3"/>
        <w:spacing w:before="171" w:line="360" w:lineRule="auto"/>
        <w:ind w:left="160" w:right="1035" w:hanging="1"/>
      </w:pPr>
      <w:r>
        <w:t>The aim of this research is to examine the main influences of Foreign Direct Investment (FDI) inflow in Nigeria and to understand whether or not the exchange rate regime which started in 1985 and the subsequent fluctuations on the exchange rate pattern from 1985 to 2010 has had a noticeable impact on Foreign Direct Investment (FDI) inflow in Nigeria.</w:t>
      </w:r>
    </w:p>
    <w:p w14:paraId="39197D50" w14:textId="77777777" w:rsidR="001F5B07" w:rsidRDefault="001F5B07">
      <w:pPr>
        <w:pStyle w:val="a3"/>
        <w:spacing w:before="4"/>
        <w:rPr>
          <w:sz w:val="16"/>
        </w:rPr>
      </w:pPr>
    </w:p>
    <w:p w14:paraId="21E93018" w14:textId="77777777" w:rsidR="001F5B07" w:rsidRDefault="000A05EA">
      <w:pPr>
        <w:pStyle w:val="a3"/>
        <w:spacing w:line="360" w:lineRule="auto"/>
        <w:ind w:left="159" w:right="1547"/>
      </w:pPr>
      <w:r>
        <w:t>This study reveals the effects of exchange rates which rank high on the various macroeconomic factors that Multi‐National Enterprise (MNE) consider when making Foreign Direct Investments decision and connects it to the general impact FDI inflows have had so far on the economy of Nigeria.</w:t>
      </w:r>
    </w:p>
    <w:p w14:paraId="09E6CDE2" w14:textId="77777777" w:rsidR="001F5B07" w:rsidRDefault="001F5B07">
      <w:pPr>
        <w:pStyle w:val="a3"/>
        <w:spacing w:before="4"/>
        <w:rPr>
          <w:sz w:val="16"/>
        </w:rPr>
      </w:pPr>
    </w:p>
    <w:p w14:paraId="7674FD50" w14:textId="77777777" w:rsidR="001F5B07" w:rsidRDefault="000A05EA">
      <w:pPr>
        <w:pStyle w:val="a3"/>
        <w:ind w:left="159"/>
      </w:pPr>
      <w:r>
        <w:t>The research questions underpinning the studies in this subject area which includes:</w:t>
      </w:r>
    </w:p>
    <w:p w14:paraId="0126D855" w14:textId="77777777" w:rsidR="001F5B07" w:rsidRDefault="001F5B07">
      <w:pPr>
        <w:pStyle w:val="a3"/>
        <w:spacing w:before="4"/>
        <w:rPr>
          <w:sz w:val="27"/>
        </w:rPr>
      </w:pPr>
    </w:p>
    <w:p w14:paraId="4A45E881" w14:textId="77777777" w:rsidR="001F5B07" w:rsidRDefault="000A05EA">
      <w:pPr>
        <w:pStyle w:val="a4"/>
        <w:numPr>
          <w:ilvl w:val="1"/>
          <w:numId w:val="4"/>
        </w:numPr>
        <w:tabs>
          <w:tab w:val="left" w:pos="879"/>
          <w:tab w:val="left" w:pos="880"/>
        </w:tabs>
        <w:spacing w:before="0"/>
        <w:ind w:hanging="361"/>
      </w:pPr>
      <w:r>
        <w:t>Do FDI inflows impact on the Nigeria’s</w:t>
      </w:r>
      <w:r>
        <w:rPr>
          <w:spacing w:val="-14"/>
        </w:rPr>
        <w:t xml:space="preserve"> </w:t>
      </w:r>
      <w:r>
        <w:t>economy?</w:t>
      </w:r>
    </w:p>
    <w:p w14:paraId="76F57C78" w14:textId="77777777" w:rsidR="001F5B07" w:rsidRDefault="000A05EA">
      <w:pPr>
        <w:pStyle w:val="a4"/>
        <w:numPr>
          <w:ilvl w:val="1"/>
          <w:numId w:val="4"/>
        </w:numPr>
        <w:tabs>
          <w:tab w:val="left" w:pos="879"/>
          <w:tab w:val="left" w:pos="880"/>
        </w:tabs>
        <w:spacing w:before="135" w:line="355" w:lineRule="auto"/>
        <w:ind w:right="1702" w:hanging="361"/>
      </w:pPr>
      <w:r>
        <w:t>What are the topmost sways that have affected the influx of FDI in Nigeria apart from exchange rate</w:t>
      </w:r>
      <w:r>
        <w:rPr>
          <w:spacing w:val="-12"/>
        </w:rPr>
        <w:t xml:space="preserve"> </w:t>
      </w:r>
      <w:r>
        <w:t>fluctuations?</w:t>
      </w:r>
    </w:p>
    <w:p w14:paraId="42B50A92" w14:textId="77777777" w:rsidR="001F5B07" w:rsidRDefault="000A05EA">
      <w:pPr>
        <w:pStyle w:val="a4"/>
        <w:numPr>
          <w:ilvl w:val="1"/>
          <w:numId w:val="4"/>
        </w:numPr>
        <w:tabs>
          <w:tab w:val="left" w:pos="879"/>
          <w:tab w:val="left" w:pos="880"/>
        </w:tabs>
        <w:spacing w:before="6" w:line="355" w:lineRule="auto"/>
        <w:ind w:right="1639" w:hanging="361"/>
      </w:pPr>
      <w:r>
        <w:t>Have there been direct impacts on the FDI inflow pattern that can be attributed to the exchange rate regime and fluctuations in the</w:t>
      </w:r>
      <w:r>
        <w:rPr>
          <w:spacing w:val="-17"/>
        </w:rPr>
        <w:t xml:space="preserve"> </w:t>
      </w:r>
      <w:r>
        <w:t>country?</w:t>
      </w:r>
    </w:p>
    <w:p w14:paraId="366349FF" w14:textId="77777777" w:rsidR="001F5B07" w:rsidRDefault="001F5B07">
      <w:pPr>
        <w:spacing w:line="355" w:lineRule="auto"/>
        <w:sectPr w:rsidR="001F5B07">
          <w:pgSz w:w="11910" w:h="16840"/>
          <w:pgMar w:top="1180" w:right="400" w:bottom="1280" w:left="1280" w:header="372" w:footer="1098" w:gutter="0"/>
          <w:cols w:space="720"/>
        </w:sectPr>
      </w:pPr>
    </w:p>
    <w:p w14:paraId="1A1A9601" w14:textId="77777777" w:rsidR="001F5B07" w:rsidRDefault="001F5B07">
      <w:pPr>
        <w:pStyle w:val="a3"/>
        <w:spacing w:before="7"/>
        <w:rPr>
          <w:sz w:val="12"/>
        </w:rPr>
      </w:pPr>
    </w:p>
    <w:p w14:paraId="08F95A17" w14:textId="77777777" w:rsidR="001F5B07" w:rsidRDefault="000A05EA">
      <w:pPr>
        <w:pStyle w:val="a4"/>
        <w:numPr>
          <w:ilvl w:val="1"/>
          <w:numId w:val="4"/>
        </w:numPr>
        <w:tabs>
          <w:tab w:val="left" w:pos="879"/>
          <w:tab w:val="left" w:pos="880"/>
        </w:tabs>
        <w:spacing w:before="100"/>
        <w:ind w:left="879" w:hanging="359"/>
      </w:pPr>
      <w:bookmarkStart w:id="5" w:name="_bookmark2"/>
      <w:bookmarkEnd w:id="5"/>
      <w:r>
        <w:t>To what level have exchange rate fluctuations impacted on FDI inflows in the</w:t>
      </w:r>
      <w:r>
        <w:rPr>
          <w:spacing w:val="-26"/>
        </w:rPr>
        <w:t xml:space="preserve"> </w:t>
      </w:r>
      <w:r>
        <w:t>country?</w:t>
      </w:r>
    </w:p>
    <w:p w14:paraId="6101E0E5" w14:textId="77777777" w:rsidR="001F5B07" w:rsidRDefault="000A05EA">
      <w:pPr>
        <w:pStyle w:val="a4"/>
        <w:numPr>
          <w:ilvl w:val="1"/>
          <w:numId w:val="4"/>
        </w:numPr>
        <w:tabs>
          <w:tab w:val="left" w:pos="879"/>
          <w:tab w:val="left" w:pos="880"/>
        </w:tabs>
        <w:spacing w:before="133" w:line="355" w:lineRule="auto"/>
        <w:ind w:right="1290" w:hanging="361"/>
      </w:pPr>
      <w:r>
        <w:t>What policies can the Government use to cushion the effects of exchange rate volatility to boost FDI inflow in the</w:t>
      </w:r>
      <w:r>
        <w:rPr>
          <w:spacing w:val="-10"/>
        </w:rPr>
        <w:t xml:space="preserve"> </w:t>
      </w:r>
      <w:r>
        <w:t>country?</w:t>
      </w:r>
    </w:p>
    <w:p w14:paraId="201DA868" w14:textId="77777777" w:rsidR="001F5B07" w:rsidRDefault="001F5B07">
      <w:pPr>
        <w:pStyle w:val="a3"/>
        <w:spacing w:before="9"/>
        <w:rPr>
          <w:sz w:val="16"/>
        </w:rPr>
      </w:pPr>
    </w:p>
    <w:p w14:paraId="2CD250E2" w14:textId="77777777" w:rsidR="001F5B07" w:rsidRDefault="000A05EA">
      <w:pPr>
        <w:pStyle w:val="a3"/>
        <w:ind w:left="159"/>
      </w:pPr>
      <w:r>
        <w:t>Re‐framed as research objectives, the required outcomes of the study are to:</w:t>
      </w:r>
    </w:p>
    <w:p w14:paraId="1B75C34C" w14:textId="77777777" w:rsidR="001F5B07" w:rsidRDefault="001F5B07">
      <w:pPr>
        <w:pStyle w:val="a3"/>
        <w:spacing w:before="5"/>
        <w:rPr>
          <w:sz w:val="27"/>
        </w:rPr>
      </w:pPr>
    </w:p>
    <w:p w14:paraId="0FD2023E" w14:textId="77777777" w:rsidR="001F5B07" w:rsidRDefault="000A05EA">
      <w:pPr>
        <w:pStyle w:val="a4"/>
        <w:numPr>
          <w:ilvl w:val="1"/>
          <w:numId w:val="4"/>
        </w:numPr>
        <w:tabs>
          <w:tab w:val="left" w:pos="879"/>
          <w:tab w:val="left" w:pos="880"/>
        </w:tabs>
        <w:spacing w:before="0"/>
        <w:ind w:left="879" w:hanging="359"/>
      </w:pPr>
      <w:r>
        <w:t>Establish the major influences affecting FDI inflows in</w:t>
      </w:r>
      <w:r>
        <w:rPr>
          <w:spacing w:val="-20"/>
        </w:rPr>
        <w:t xml:space="preserve"> </w:t>
      </w:r>
      <w:r>
        <w:t>Nigeria</w:t>
      </w:r>
    </w:p>
    <w:p w14:paraId="06ACD0E1" w14:textId="77777777" w:rsidR="001F5B07" w:rsidRDefault="000A05EA">
      <w:pPr>
        <w:pStyle w:val="a4"/>
        <w:numPr>
          <w:ilvl w:val="1"/>
          <w:numId w:val="4"/>
        </w:numPr>
        <w:tabs>
          <w:tab w:val="left" w:pos="879"/>
          <w:tab w:val="left" w:pos="880"/>
        </w:tabs>
        <w:spacing w:before="133" w:line="355" w:lineRule="auto"/>
        <w:ind w:right="1403" w:hanging="361"/>
      </w:pPr>
      <w:r>
        <w:t>Unravel the empirical relationship between the exchange rate volatility and FDI nexus on Nigeria</w:t>
      </w:r>
    </w:p>
    <w:p w14:paraId="2ED5FEBD" w14:textId="77777777" w:rsidR="001F5B07" w:rsidRDefault="000A05EA">
      <w:pPr>
        <w:pStyle w:val="a4"/>
        <w:numPr>
          <w:ilvl w:val="1"/>
          <w:numId w:val="4"/>
        </w:numPr>
        <w:tabs>
          <w:tab w:val="left" w:pos="879"/>
          <w:tab w:val="left" w:pos="880"/>
        </w:tabs>
        <w:spacing w:before="5" w:line="355" w:lineRule="auto"/>
        <w:ind w:right="1857" w:hanging="361"/>
      </w:pPr>
      <w:r>
        <w:t>Ascertain whether the exchange rate regime in the last 25years from when SAP was introduced in Nigeria have had a discernible effect on the country’s FDI</w:t>
      </w:r>
      <w:r>
        <w:rPr>
          <w:spacing w:val="-30"/>
        </w:rPr>
        <w:t xml:space="preserve"> </w:t>
      </w:r>
      <w:r>
        <w:t>inflow.</w:t>
      </w:r>
    </w:p>
    <w:p w14:paraId="629A5892" w14:textId="77777777" w:rsidR="001F5B07" w:rsidRDefault="000A05EA">
      <w:pPr>
        <w:pStyle w:val="a4"/>
        <w:numPr>
          <w:ilvl w:val="1"/>
          <w:numId w:val="4"/>
        </w:numPr>
        <w:tabs>
          <w:tab w:val="left" w:pos="879"/>
          <w:tab w:val="left" w:pos="880"/>
        </w:tabs>
        <w:spacing w:before="5" w:line="355" w:lineRule="auto"/>
        <w:ind w:right="1311"/>
      </w:pPr>
      <w:r>
        <w:t>Offer recommendations based on findings on how the Government can achieve economic growth by maintaining high levels of FDI through a stable exchange rate</w:t>
      </w:r>
      <w:r>
        <w:rPr>
          <w:spacing w:val="-25"/>
        </w:rPr>
        <w:t xml:space="preserve"> </w:t>
      </w:r>
      <w:r>
        <w:t>system.</w:t>
      </w:r>
    </w:p>
    <w:p w14:paraId="5644D6EB" w14:textId="77777777" w:rsidR="001F5B07" w:rsidRDefault="001F5B07">
      <w:pPr>
        <w:pStyle w:val="a3"/>
        <w:spacing w:before="9"/>
        <w:rPr>
          <w:sz w:val="16"/>
        </w:rPr>
      </w:pPr>
    </w:p>
    <w:p w14:paraId="29F5D535" w14:textId="77777777" w:rsidR="001F5B07" w:rsidRDefault="000A05EA">
      <w:pPr>
        <w:pStyle w:val="a3"/>
        <w:ind w:left="159"/>
      </w:pPr>
      <w:r>
        <w:t>The achievement of these objectives will give answers to the research questions.</w:t>
      </w:r>
    </w:p>
    <w:p w14:paraId="570111F1" w14:textId="77777777" w:rsidR="001F5B07" w:rsidRDefault="001F5B07">
      <w:pPr>
        <w:pStyle w:val="a3"/>
      </w:pPr>
    </w:p>
    <w:p w14:paraId="5F1A3386" w14:textId="77777777" w:rsidR="001F5B07" w:rsidRDefault="001F5B07">
      <w:pPr>
        <w:pStyle w:val="a3"/>
        <w:spacing w:before="4"/>
        <w:rPr>
          <w:sz w:val="28"/>
        </w:rPr>
      </w:pPr>
    </w:p>
    <w:p w14:paraId="0B3787E1" w14:textId="77777777" w:rsidR="001F5B07" w:rsidRDefault="000A05EA">
      <w:pPr>
        <w:ind w:left="160"/>
        <w:rPr>
          <w:rFonts w:ascii="Calibri"/>
          <w:b/>
          <w:sz w:val="28"/>
        </w:rPr>
      </w:pPr>
      <w:bookmarkStart w:id="6" w:name="Key_Literature_Review"/>
      <w:bookmarkEnd w:id="6"/>
      <w:r>
        <w:rPr>
          <w:rFonts w:ascii="Calibri"/>
          <w:b/>
          <w:sz w:val="28"/>
        </w:rPr>
        <w:t>Key Literature Review</w:t>
      </w:r>
    </w:p>
    <w:p w14:paraId="6C64814D" w14:textId="77777777" w:rsidR="001F5B07" w:rsidRDefault="001F5B07">
      <w:pPr>
        <w:pStyle w:val="a3"/>
        <w:spacing w:before="4"/>
        <w:rPr>
          <w:b/>
          <w:sz w:val="30"/>
        </w:rPr>
      </w:pPr>
    </w:p>
    <w:p w14:paraId="66C15A83" w14:textId="77777777" w:rsidR="001F5B07" w:rsidRDefault="000A05EA">
      <w:pPr>
        <w:pStyle w:val="2"/>
      </w:pPr>
      <w:bookmarkStart w:id="7" w:name="Significance_and_scope_of_the_study"/>
      <w:bookmarkEnd w:id="7"/>
      <w:r>
        <w:t>Significance and scope of the study</w:t>
      </w:r>
    </w:p>
    <w:p w14:paraId="22BA3107" w14:textId="77777777" w:rsidR="001F5B07" w:rsidRDefault="000A05EA">
      <w:pPr>
        <w:pStyle w:val="a3"/>
        <w:spacing w:before="158" w:line="360" w:lineRule="auto"/>
        <w:ind w:left="159" w:right="1054"/>
      </w:pPr>
      <w:r>
        <w:t>Although several studies have been made on FDI inflows to Nigeria and exchange rate fluctuation in the Nigerian economy, only 3 studies have been done to ascertain the direct impact of exchange</w:t>
      </w:r>
      <w:r>
        <w:rPr>
          <w:spacing w:val="-31"/>
        </w:rPr>
        <w:t xml:space="preserve"> </w:t>
      </w:r>
      <w:r>
        <w:t xml:space="preserve">rate volatility on FDI inflows in Nigeria; the first study by </w:t>
      </w:r>
      <w:proofErr w:type="spellStart"/>
      <w:r>
        <w:t>Alaba</w:t>
      </w:r>
      <w:proofErr w:type="spellEnd"/>
      <w:r>
        <w:t xml:space="preserve"> (2003) who researched on the impact of FDI in just two sectors (manufacturing and agriculture), concluded that there was no significant impact of exchange rate fluctuation on FDI inflows in the country. The study by </w:t>
      </w:r>
      <w:proofErr w:type="spellStart"/>
      <w:r>
        <w:t>Alaba</w:t>
      </w:r>
      <w:proofErr w:type="spellEnd"/>
      <w:r>
        <w:t xml:space="preserve"> (</w:t>
      </w:r>
      <w:proofErr w:type="gramStart"/>
      <w:r>
        <w:t>2003)was</w:t>
      </w:r>
      <w:proofErr w:type="gramEnd"/>
      <w:r>
        <w:t xml:space="preserve"> ground breaking but the conclusions made were a bit general considering the fact that it was just two sectors that was researched. Another study carried out by </w:t>
      </w:r>
      <w:proofErr w:type="spellStart"/>
      <w:r>
        <w:t>Osinubi</w:t>
      </w:r>
      <w:proofErr w:type="spellEnd"/>
      <w:r>
        <w:t xml:space="preserve"> &amp; </w:t>
      </w:r>
      <w:proofErr w:type="spellStart"/>
      <w:r>
        <w:t>Amaghionyeodiwe</w:t>
      </w:r>
      <w:proofErr w:type="spellEnd"/>
      <w:r>
        <w:t xml:space="preserve"> (2009) analysed currency exchange information from 1970 to 2004 and concluded that </w:t>
      </w:r>
      <w:proofErr w:type="gramStart"/>
      <w:r>
        <w:t>there</w:t>
      </w:r>
      <w:proofErr w:type="gramEnd"/>
      <w:r>
        <w:t xml:space="preserve"> exchange rate fluctuation did not impact on FDI inflows in Nigeria. The last study carried out by Udoh &amp; </w:t>
      </w:r>
      <w:proofErr w:type="spellStart"/>
      <w:r>
        <w:t>Egwaikhide</w:t>
      </w:r>
      <w:proofErr w:type="spellEnd"/>
      <w:r>
        <w:t xml:space="preserve"> (2008) rounded up with a conclusion that there was a direct impact on exchange rate fluctuation to FDI inflows in Nigeria. The study carried out by Udoh &amp; </w:t>
      </w:r>
      <w:proofErr w:type="spellStart"/>
      <w:r>
        <w:t>Egwaikhide</w:t>
      </w:r>
      <w:proofErr w:type="spellEnd"/>
      <w:r>
        <w:t xml:space="preserve"> (2008) included the effects of inflation and hence did not give an exact analysis on exchange rate fluctuations alone. This study will test previous assumptions and studies. This study will also focus on the impact of exchange rate fluctuation from after the SAP era. Findings will demonstrate an analysis on an area that has not been researched and will be a suitable guide for policy makers in implementing exchange rate regimes that will increase inflows on Foreign Direct Investments in</w:t>
      </w:r>
      <w:r>
        <w:rPr>
          <w:spacing w:val="-16"/>
        </w:rPr>
        <w:t xml:space="preserve"> </w:t>
      </w:r>
      <w:r>
        <w:t>Nigeria.</w:t>
      </w:r>
    </w:p>
    <w:p w14:paraId="5BF7A06C" w14:textId="77777777" w:rsidR="001F5B07" w:rsidRDefault="001F5B07">
      <w:pPr>
        <w:spacing w:line="360" w:lineRule="auto"/>
        <w:sectPr w:rsidR="001F5B07">
          <w:pgSz w:w="11910" w:h="16840"/>
          <w:pgMar w:top="1180" w:right="400" w:bottom="1280" w:left="1280" w:header="372" w:footer="1098" w:gutter="0"/>
          <w:cols w:space="720"/>
        </w:sectPr>
      </w:pPr>
    </w:p>
    <w:p w14:paraId="45D248FE" w14:textId="77777777" w:rsidR="001F5B07" w:rsidRDefault="001F5B07">
      <w:pPr>
        <w:pStyle w:val="a3"/>
        <w:spacing w:before="11"/>
        <w:rPr>
          <w:sz w:val="16"/>
        </w:rPr>
      </w:pPr>
    </w:p>
    <w:p w14:paraId="2F47187C" w14:textId="77777777" w:rsidR="001F5B07" w:rsidRDefault="000A05EA">
      <w:pPr>
        <w:pStyle w:val="2"/>
        <w:spacing w:before="47"/>
      </w:pPr>
      <w:bookmarkStart w:id="8" w:name="Key_Words"/>
      <w:bookmarkStart w:id="9" w:name="_bookmark3"/>
      <w:bookmarkEnd w:id="8"/>
      <w:bookmarkEnd w:id="9"/>
      <w:r>
        <w:t>Key Words</w:t>
      </w:r>
    </w:p>
    <w:p w14:paraId="55830937" w14:textId="77777777" w:rsidR="001F5B07" w:rsidRDefault="000A05EA">
      <w:pPr>
        <w:pStyle w:val="a3"/>
        <w:spacing w:before="158" w:line="360" w:lineRule="auto"/>
        <w:ind w:left="160" w:right="1302" w:hanging="1"/>
      </w:pPr>
      <w:r>
        <w:t xml:space="preserve">Foreign Direct Investment (FDI), Multi National Enterprise (MNE), Macro Economy, Exchange Rate Fluctuations, Structural Adjustment </w:t>
      </w:r>
      <w:proofErr w:type="spellStart"/>
      <w:r>
        <w:t>Programme</w:t>
      </w:r>
      <w:proofErr w:type="spellEnd"/>
      <w:r>
        <w:t xml:space="preserve"> (SAP), GARCH model</w:t>
      </w:r>
    </w:p>
    <w:p w14:paraId="1F05575A" w14:textId="77777777" w:rsidR="001F5B07" w:rsidRDefault="001F5B07">
      <w:pPr>
        <w:pStyle w:val="a3"/>
        <w:spacing w:before="5"/>
        <w:rPr>
          <w:sz w:val="16"/>
        </w:rPr>
      </w:pPr>
    </w:p>
    <w:p w14:paraId="2AF4DF67" w14:textId="77777777" w:rsidR="001F5B07" w:rsidRDefault="000A05EA">
      <w:pPr>
        <w:pStyle w:val="2"/>
      </w:pPr>
      <w:bookmarkStart w:id="10" w:name="Literature_"/>
      <w:bookmarkEnd w:id="10"/>
      <w:r>
        <w:t>Literature</w:t>
      </w:r>
    </w:p>
    <w:p w14:paraId="0F2B45BE" w14:textId="77777777" w:rsidR="001F5B07" w:rsidRDefault="000A05EA">
      <w:pPr>
        <w:pStyle w:val="a3"/>
        <w:spacing w:before="158" w:line="360" w:lineRule="auto"/>
        <w:ind w:left="160" w:right="1076" w:hanging="1"/>
      </w:pPr>
      <w:r>
        <w:t xml:space="preserve">Foreign Direct Investment (FDI) can be described as an investment that involves a long‐term relationship between a foreign investor or parent enterprise and an affiliate enterprise or foreign affiliate. Individuals as well as business entities may undertake FDI for several reasons which include high returns on their capital investments, high market share and to seek efficiency depending on the kind of investment involved. The concept of FDI has been studied by academics and is unanimously established that FDI investments are made to achieve the objectives in MNE’s strategies and setting up a FDI will give investors a high degree of influence on the management of the investor’s enterprise resident in another economy (Alfaro et al, 2006; </w:t>
      </w:r>
      <w:proofErr w:type="spellStart"/>
      <w:r>
        <w:t>Nwillima</w:t>
      </w:r>
      <w:proofErr w:type="spellEnd"/>
      <w:r>
        <w:t xml:space="preserve">, 2008; </w:t>
      </w:r>
      <w:proofErr w:type="spellStart"/>
      <w:r>
        <w:t>Kyereboah</w:t>
      </w:r>
      <w:proofErr w:type="spellEnd"/>
      <w:r>
        <w:t xml:space="preserve">‐Coleman &amp; </w:t>
      </w:r>
      <w:proofErr w:type="spellStart"/>
      <w:r>
        <w:t>Agyire‐Tettey</w:t>
      </w:r>
      <w:proofErr w:type="spellEnd"/>
      <w:r>
        <w:t>, 2003; Morrison, 2006).</w:t>
      </w:r>
    </w:p>
    <w:p w14:paraId="0A1F3CE7" w14:textId="77777777" w:rsidR="001F5B07" w:rsidRDefault="001F5B07">
      <w:pPr>
        <w:pStyle w:val="a3"/>
        <w:spacing w:before="4"/>
        <w:rPr>
          <w:sz w:val="16"/>
        </w:rPr>
      </w:pPr>
    </w:p>
    <w:p w14:paraId="6B702A34" w14:textId="77777777" w:rsidR="001F5B07" w:rsidRDefault="000A05EA">
      <w:pPr>
        <w:pStyle w:val="a3"/>
        <w:spacing w:line="360" w:lineRule="auto"/>
        <w:ind w:left="160" w:right="1209" w:hanging="1"/>
      </w:pPr>
      <w:r>
        <w:t xml:space="preserve">Many policy makers, academics and management consultants are of the view that foreign direct investment (FDI) creates important and positive effects on a host country’s and it drives development effort (Morrison, 2006; </w:t>
      </w:r>
      <w:proofErr w:type="spellStart"/>
      <w:r>
        <w:t>Markusen</w:t>
      </w:r>
      <w:proofErr w:type="spellEnd"/>
      <w:r>
        <w:t xml:space="preserve">, et al., 1995). FDI is assumed to benefit developing countries or emerging economies like Nigeria, not only by supplementing domestic enterprise investments, but also in terms of employment creation, transfer of technology, increased domestic competition and many other positive externalities </w:t>
      </w:r>
      <w:proofErr w:type="gramStart"/>
      <w:r>
        <w:t xml:space="preserve">( </w:t>
      </w:r>
      <w:proofErr w:type="spellStart"/>
      <w:r>
        <w:t>Ayanwale</w:t>
      </w:r>
      <w:proofErr w:type="spellEnd"/>
      <w:proofErr w:type="gramEnd"/>
      <w:r>
        <w:t>, 2007).</w:t>
      </w:r>
    </w:p>
    <w:p w14:paraId="49100740" w14:textId="77777777" w:rsidR="001F5B07" w:rsidRDefault="001F5B07">
      <w:pPr>
        <w:pStyle w:val="a3"/>
        <w:spacing w:before="4"/>
        <w:rPr>
          <w:sz w:val="16"/>
        </w:rPr>
      </w:pPr>
    </w:p>
    <w:p w14:paraId="06F2ED8F" w14:textId="77777777" w:rsidR="001F5B07" w:rsidRDefault="000A05EA">
      <w:pPr>
        <w:pStyle w:val="a3"/>
        <w:spacing w:line="360" w:lineRule="auto"/>
        <w:ind w:left="160" w:right="1090" w:firstLine="48"/>
      </w:pPr>
      <w:r>
        <w:t>FDI adds to investment resources and supplies direct capital to the host country’s economy. It can serve as an engine of technological development creating benefits like transfers of production technology, skills, innovative capacity, and organizational and managerial practices (</w:t>
      </w:r>
      <w:proofErr w:type="spellStart"/>
      <w:r>
        <w:t>Osinubi</w:t>
      </w:r>
      <w:proofErr w:type="spellEnd"/>
      <w:r>
        <w:t xml:space="preserve"> and </w:t>
      </w:r>
      <w:proofErr w:type="spellStart"/>
      <w:r>
        <w:t>Amaghionyeodiwe</w:t>
      </w:r>
      <w:proofErr w:type="spellEnd"/>
      <w:r>
        <w:t>, 2009). These benefits can boost, facilitate or jumpstart an economy. Based on these arguments; industrialized and developing countries now offer incentives to encourage Foreign Direct Investments (FDI) in their economies (Alfaro, 2003).</w:t>
      </w:r>
    </w:p>
    <w:p w14:paraId="3090291E" w14:textId="77777777" w:rsidR="001F5B07" w:rsidRDefault="001F5B07">
      <w:pPr>
        <w:pStyle w:val="a3"/>
        <w:spacing w:before="4"/>
        <w:rPr>
          <w:sz w:val="16"/>
        </w:rPr>
      </w:pPr>
    </w:p>
    <w:p w14:paraId="25863725" w14:textId="77777777" w:rsidR="001F5B07" w:rsidRDefault="000A05EA">
      <w:pPr>
        <w:pStyle w:val="a3"/>
        <w:spacing w:line="360" w:lineRule="auto"/>
        <w:ind w:left="159" w:right="1144"/>
      </w:pPr>
      <w:r>
        <w:t>There are several determinant facilitating MNE’s decisions to invest in a foreign country. These factors which have been explained earlier in the introduction can be broadly categorized into ‘push’ and ‘pull’ factors. The ‘push’ factors refer to what triggers MNE’s to diversify and expand business from their country of origin; popular factors include increasing tax burdens and decline in interest rates in their home countries (Calvo et al, 1993; Fernandez‐Arias, 1994). The ’pull’ factors refer to the macro economic performance, investment environment, infrastructure and resources and</w:t>
      </w:r>
    </w:p>
    <w:p w14:paraId="28FE58B7" w14:textId="77777777" w:rsidR="001F5B07" w:rsidRDefault="001F5B07">
      <w:pPr>
        <w:spacing w:line="360" w:lineRule="auto"/>
        <w:sectPr w:rsidR="001F5B07">
          <w:pgSz w:w="11910" w:h="16840"/>
          <w:pgMar w:top="1180" w:right="400" w:bottom="1280" w:left="1280" w:header="372" w:footer="1098" w:gutter="0"/>
          <w:cols w:space="720"/>
        </w:sectPr>
      </w:pPr>
    </w:p>
    <w:p w14:paraId="409E28E4" w14:textId="77777777" w:rsidR="001F5B07" w:rsidRDefault="001F5B07">
      <w:pPr>
        <w:pStyle w:val="a3"/>
        <w:spacing w:before="3"/>
        <w:rPr>
          <w:sz w:val="16"/>
        </w:rPr>
      </w:pPr>
    </w:p>
    <w:p w14:paraId="0E938674" w14:textId="77777777" w:rsidR="001F5B07" w:rsidRDefault="000A05EA">
      <w:pPr>
        <w:pStyle w:val="a3"/>
        <w:spacing w:before="55" w:line="360" w:lineRule="auto"/>
        <w:ind w:left="160" w:right="1435" w:hanging="1"/>
      </w:pPr>
      <w:r>
        <w:t xml:space="preserve">quality of institutions in the potential country to invest in (Calvo et al, 1993; Udoh &amp; </w:t>
      </w:r>
      <w:proofErr w:type="spellStart"/>
      <w:r>
        <w:t>Egwaikhide</w:t>
      </w:r>
      <w:proofErr w:type="spellEnd"/>
      <w:r>
        <w:t>, 2008).</w:t>
      </w:r>
    </w:p>
    <w:p w14:paraId="4C99B887" w14:textId="77777777" w:rsidR="001F5B07" w:rsidRDefault="001F5B07">
      <w:pPr>
        <w:pStyle w:val="a3"/>
        <w:spacing w:before="4"/>
        <w:rPr>
          <w:sz w:val="16"/>
        </w:rPr>
      </w:pPr>
    </w:p>
    <w:p w14:paraId="4048E936" w14:textId="77777777" w:rsidR="001F5B07" w:rsidRDefault="000A05EA">
      <w:pPr>
        <w:pStyle w:val="a3"/>
        <w:spacing w:line="360" w:lineRule="auto"/>
        <w:ind w:left="159" w:right="1062"/>
      </w:pPr>
      <w:r>
        <w:t>Exchange rate which is the domestic currency prices of foreign currencies is of high importance to an investor or MNE who view it in terms of its volatility. It is perhaps the most important determinant MNE’s look out for before investing in a country. Many Governments of host countries of FDI and countries seeking FDI inflows especially emerging economies and developing economies are aware of the significant impact fluctuations of exchange rates have in FDI inflows and tend to make exchange rate regimes as stable as possible. They believe that managing exchange rate is critical to attract foreign</w:t>
      </w:r>
      <w:r>
        <w:rPr>
          <w:spacing w:val="-11"/>
        </w:rPr>
        <w:t xml:space="preserve"> </w:t>
      </w:r>
      <w:r>
        <w:t>investors.</w:t>
      </w:r>
    </w:p>
    <w:p w14:paraId="4827921C" w14:textId="77777777" w:rsidR="001F5B07" w:rsidRDefault="001F5B07">
      <w:pPr>
        <w:pStyle w:val="a3"/>
        <w:spacing w:before="5"/>
        <w:rPr>
          <w:sz w:val="16"/>
        </w:rPr>
      </w:pPr>
    </w:p>
    <w:p w14:paraId="311D1FAE" w14:textId="77777777" w:rsidR="001F5B07" w:rsidRDefault="000A05EA">
      <w:pPr>
        <w:pStyle w:val="a3"/>
        <w:spacing w:line="360" w:lineRule="auto"/>
        <w:ind w:left="159" w:right="1092" w:firstLine="49"/>
      </w:pPr>
      <w:r>
        <w:t>Exchange rate management is expected to achieve the goals of price stability, sustainable economic development, reduction of unemployment and balance of payment viability most especially when applied in collaboration with other macroeconomic policies. Governance should encourage exchange rate stability in achievement of macroeconomic goals thereby enhancing efficient and effective economic management (Akpan, 2009). The history of governmental and international attempts to stabilize exchange rates dates back as early as 1880 when the ‘Gold standard’ was established and was used in business transactions (Bennett, 1997)</w:t>
      </w:r>
    </w:p>
    <w:p w14:paraId="45551214" w14:textId="77777777" w:rsidR="001F5B07" w:rsidRDefault="001F5B07">
      <w:pPr>
        <w:pStyle w:val="a3"/>
        <w:spacing w:before="4"/>
        <w:rPr>
          <w:sz w:val="16"/>
        </w:rPr>
      </w:pPr>
    </w:p>
    <w:p w14:paraId="6BA3681F" w14:textId="77777777" w:rsidR="001F5B07" w:rsidRDefault="000A05EA">
      <w:pPr>
        <w:pStyle w:val="a3"/>
        <w:spacing w:line="360" w:lineRule="auto"/>
        <w:ind w:left="160" w:right="1257" w:hanging="1"/>
      </w:pPr>
      <w:r>
        <w:t xml:space="preserve">There are two key constituents to exchange rate movements or fluctuation in a country; economic performance in relation to other currencies over a long term and short‐term political and other transient factors which largely account for the volatility and </w:t>
      </w:r>
      <w:proofErr w:type="gramStart"/>
      <w:r>
        <w:t>long term</w:t>
      </w:r>
      <w:proofErr w:type="gramEnd"/>
      <w:r>
        <w:t xml:space="preserve"> trend (Bennett, 1997).</w:t>
      </w:r>
    </w:p>
    <w:p w14:paraId="76DE6BD0" w14:textId="77777777" w:rsidR="001F5B07" w:rsidRDefault="000A05EA">
      <w:pPr>
        <w:pStyle w:val="a3"/>
        <w:spacing w:line="360" w:lineRule="auto"/>
        <w:ind w:left="161" w:right="1392" w:hanging="1"/>
      </w:pPr>
      <w:r>
        <w:t>According to the risk aversion theory, FDI decreases as exchange rate volatility increases. This is because higher volatility in the exchange rate lowers the certainty equivalent expected exchange rate (Menezes &amp; Hanson, 1970; Hong, et al., 1985).</w:t>
      </w:r>
    </w:p>
    <w:p w14:paraId="4DDB02D2" w14:textId="77777777" w:rsidR="001F5B07" w:rsidRDefault="001F5B07">
      <w:pPr>
        <w:pStyle w:val="a3"/>
        <w:spacing w:before="4"/>
        <w:rPr>
          <w:sz w:val="16"/>
        </w:rPr>
      </w:pPr>
    </w:p>
    <w:p w14:paraId="660820A8" w14:textId="77777777" w:rsidR="001F5B07" w:rsidRDefault="000A05EA">
      <w:pPr>
        <w:pStyle w:val="a3"/>
        <w:spacing w:line="360" w:lineRule="auto"/>
        <w:ind w:left="160" w:right="1100" w:hanging="2"/>
      </w:pPr>
      <w:r>
        <w:t>The best exchange rate regime is one that stabilizes macroeconomic performance in terms of reducing fluctuations and or instability in output, consumption, domestic price level and some other key macroeconomic variables.</w:t>
      </w:r>
    </w:p>
    <w:p w14:paraId="60D9BC39" w14:textId="77777777" w:rsidR="001F5B07" w:rsidRDefault="001F5B07">
      <w:pPr>
        <w:pStyle w:val="a3"/>
        <w:spacing w:before="5"/>
        <w:rPr>
          <w:sz w:val="16"/>
        </w:rPr>
      </w:pPr>
    </w:p>
    <w:p w14:paraId="1C16C5D4" w14:textId="77777777" w:rsidR="001F5B07" w:rsidRDefault="000A05EA">
      <w:pPr>
        <w:pStyle w:val="a3"/>
        <w:spacing w:line="360" w:lineRule="auto"/>
        <w:ind w:left="159" w:right="1066"/>
      </w:pPr>
      <w:r>
        <w:t xml:space="preserve">This research bothers on the interest in exchange rate fluctuations on FDI inflow in emerging countries. It will focus on the impact of exchange rate fluctuations on FDI and analysis will be made from the inception of the Nigerian Government introduced Structural Adjustment </w:t>
      </w:r>
      <w:proofErr w:type="spellStart"/>
      <w:r>
        <w:t>Programme</w:t>
      </w:r>
      <w:proofErr w:type="spellEnd"/>
      <w:r>
        <w:t xml:space="preserve"> (SAP) which was started in July 1986 with an attempt to turn things around the once ‘hostile’ and ‘investor unfriendly’ environment created by the </w:t>
      </w:r>
      <w:proofErr w:type="spellStart"/>
      <w:r>
        <w:t>indigenisation</w:t>
      </w:r>
      <w:proofErr w:type="spellEnd"/>
      <w:r>
        <w:t xml:space="preserve"> policies of The NEPD, which regulated FDI inflow in the country (Udoh &amp; </w:t>
      </w:r>
      <w:proofErr w:type="spellStart"/>
      <w:r>
        <w:t>Egwaikhide</w:t>
      </w:r>
      <w:proofErr w:type="spellEnd"/>
      <w:r>
        <w:t>, 2008).</w:t>
      </w:r>
    </w:p>
    <w:p w14:paraId="30B017CE" w14:textId="77777777" w:rsidR="001F5B07" w:rsidRDefault="001F5B07">
      <w:pPr>
        <w:spacing w:line="360" w:lineRule="auto"/>
        <w:sectPr w:rsidR="001F5B07">
          <w:pgSz w:w="11910" w:h="16840"/>
          <w:pgMar w:top="1180" w:right="400" w:bottom="1280" w:left="1280" w:header="372" w:footer="1098" w:gutter="0"/>
          <w:cols w:space="720"/>
        </w:sectPr>
      </w:pPr>
    </w:p>
    <w:p w14:paraId="6E8DFFBE" w14:textId="77777777" w:rsidR="001F5B07" w:rsidRDefault="001F5B07">
      <w:pPr>
        <w:pStyle w:val="a3"/>
        <w:spacing w:before="3"/>
        <w:rPr>
          <w:sz w:val="16"/>
        </w:rPr>
      </w:pPr>
    </w:p>
    <w:p w14:paraId="589907EB" w14:textId="77777777" w:rsidR="001F5B07" w:rsidRDefault="000A05EA">
      <w:pPr>
        <w:pStyle w:val="a3"/>
        <w:spacing w:before="55" w:line="360" w:lineRule="auto"/>
        <w:ind w:left="160" w:right="1050"/>
      </w:pPr>
      <w:bookmarkStart w:id="11" w:name="_bookmark4"/>
      <w:bookmarkEnd w:id="11"/>
      <w:r>
        <w:t>Previous study carried out on inward FDI to Nigeria confirms the lingering controversy in the literature on the effects of exchange rate volatility (</w:t>
      </w:r>
      <w:proofErr w:type="spellStart"/>
      <w:r>
        <w:t>Alaba</w:t>
      </w:r>
      <w:proofErr w:type="spellEnd"/>
      <w:r>
        <w:t xml:space="preserve">, 2003). </w:t>
      </w:r>
      <w:proofErr w:type="spellStart"/>
      <w:r>
        <w:t>Alaba’s</w:t>
      </w:r>
      <w:proofErr w:type="spellEnd"/>
      <w:r>
        <w:t xml:space="preserve"> analysis focuses on inward FDI to two main sectors in Nigerian economy – the agricultural sector and the manufacturing sector and his finding reveals that exchange rate movement in the official market is significant at 1% for FDI to agricultural sector while the same is insignificant for the manufacturing sector. Why this study may have broken significant grounds the research </w:t>
      </w:r>
      <w:proofErr w:type="spellStart"/>
      <w:r>
        <w:t>focussed</w:t>
      </w:r>
      <w:proofErr w:type="spellEnd"/>
      <w:r>
        <w:t xml:space="preserve"> on two key sectors that were a focus on the SAP program in 1986 but does not cover many sectors like mining that have wider impact on Nigeria’s economy.</w:t>
      </w:r>
    </w:p>
    <w:p w14:paraId="01D1B1CB" w14:textId="77777777" w:rsidR="001F5B07" w:rsidRDefault="001F5B07">
      <w:pPr>
        <w:pStyle w:val="a3"/>
        <w:spacing w:before="4"/>
        <w:rPr>
          <w:sz w:val="16"/>
        </w:rPr>
      </w:pPr>
    </w:p>
    <w:p w14:paraId="649E700B" w14:textId="77777777" w:rsidR="001F5B07" w:rsidRDefault="000A05EA">
      <w:pPr>
        <w:pStyle w:val="a3"/>
        <w:spacing w:line="360" w:lineRule="auto"/>
        <w:ind w:left="160" w:right="1107" w:hanging="1"/>
      </w:pPr>
      <w:r>
        <w:t>Further studies indicate that up until 2003, there has not been a significant impact on exchange rate fluctuations to FDI inflows in Nigeria (</w:t>
      </w:r>
      <w:proofErr w:type="spellStart"/>
      <w:r>
        <w:t>Osinubi</w:t>
      </w:r>
      <w:proofErr w:type="spellEnd"/>
      <w:r>
        <w:t xml:space="preserve"> and </w:t>
      </w:r>
      <w:proofErr w:type="spellStart"/>
      <w:r>
        <w:t>Amaghionyeodiwe</w:t>
      </w:r>
      <w:proofErr w:type="spellEnd"/>
      <w:r>
        <w:t xml:space="preserve">, 2009). Udoh &amp; </w:t>
      </w:r>
      <w:proofErr w:type="spellStart"/>
      <w:r>
        <w:t>Egwaikhide</w:t>
      </w:r>
      <w:proofErr w:type="spellEnd"/>
      <w:r>
        <w:t xml:space="preserve"> (2008) have indicated that there is a significant impact on exchange rates fluctuation on FDI inflows in Nigeria.</w:t>
      </w:r>
    </w:p>
    <w:p w14:paraId="2D3D31C9" w14:textId="77777777" w:rsidR="001F5B07" w:rsidRDefault="001F5B07">
      <w:pPr>
        <w:pStyle w:val="a3"/>
        <w:spacing w:before="5"/>
        <w:rPr>
          <w:sz w:val="16"/>
        </w:rPr>
      </w:pPr>
    </w:p>
    <w:p w14:paraId="1FABCA0F" w14:textId="77777777" w:rsidR="001F5B07" w:rsidRDefault="000A05EA">
      <w:pPr>
        <w:pStyle w:val="a3"/>
        <w:spacing w:line="360" w:lineRule="auto"/>
        <w:ind w:left="160" w:right="1318" w:hanging="1"/>
      </w:pPr>
      <w:r>
        <w:t>This thesis will analysis previous studies made and analyse most recent data available to ascertain whether the exchange rate fluctuations has had a discernible effect on Nigeria’s FDI inflow</w:t>
      </w:r>
    </w:p>
    <w:p w14:paraId="1C73535B" w14:textId="77777777" w:rsidR="001F5B07" w:rsidRDefault="001F5B07">
      <w:pPr>
        <w:pStyle w:val="a3"/>
      </w:pPr>
    </w:p>
    <w:p w14:paraId="0F517C7D" w14:textId="77777777" w:rsidR="001F5B07" w:rsidRDefault="001F5B07">
      <w:pPr>
        <w:pStyle w:val="a3"/>
      </w:pPr>
    </w:p>
    <w:p w14:paraId="44218441" w14:textId="77777777" w:rsidR="001F5B07" w:rsidRDefault="001F5B07">
      <w:pPr>
        <w:pStyle w:val="a3"/>
      </w:pPr>
    </w:p>
    <w:p w14:paraId="54DB77F8" w14:textId="77777777" w:rsidR="001F5B07" w:rsidRDefault="001F5B07">
      <w:pPr>
        <w:pStyle w:val="a3"/>
        <w:spacing w:before="8"/>
      </w:pPr>
    </w:p>
    <w:p w14:paraId="02965471" w14:textId="77777777" w:rsidR="001F5B07" w:rsidRDefault="000A05EA">
      <w:pPr>
        <w:pStyle w:val="1"/>
        <w:spacing w:before="1"/>
      </w:pPr>
      <w:bookmarkStart w:id="12" w:name="Research_Design"/>
      <w:bookmarkEnd w:id="12"/>
      <w:r>
        <w:t>Research Design</w:t>
      </w:r>
    </w:p>
    <w:p w14:paraId="5C322361" w14:textId="77777777" w:rsidR="001F5B07" w:rsidRDefault="000A05EA">
      <w:pPr>
        <w:pStyle w:val="a3"/>
        <w:spacing w:before="171" w:line="360" w:lineRule="auto"/>
        <w:ind w:left="159" w:right="1075"/>
      </w:pPr>
      <w:r>
        <w:t>This research will be carried out by adopting a deductive approach by hypothesis (Saunders et al., 2009: 124‐125), I intend using qualitative methods by collating secondary data that will form my hypothesis. The secondary data refers to journal articles, reports and bulleting from authorized and authentic government sources (Central Bank of Nigeria), articles from credible newspapers and international sources like the World Bank and WTO. My research design will be done from an explanatory or casual approach (Saunders et al., 2009). I will explain how the variables which are the exchange rate fluctuation and FDI percentage to the GDP is inter‐related.</w:t>
      </w:r>
    </w:p>
    <w:p w14:paraId="0A842027" w14:textId="77777777" w:rsidR="001F5B07" w:rsidRDefault="001F5B07">
      <w:pPr>
        <w:pStyle w:val="a3"/>
        <w:spacing w:before="4"/>
        <w:rPr>
          <w:sz w:val="16"/>
        </w:rPr>
      </w:pPr>
    </w:p>
    <w:p w14:paraId="09D22F78" w14:textId="77777777" w:rsidR="001F5B07" w:rsidRDefault="000A05EA">
      <w:pPr>
        <w:pStyle w:val="a3"/>
        <w:spacing w:line="360" w:lineRule="auto"/>
        <w:ind w:left="159" w:right="1027"/>
      </w:pPr>
      <w:r>
        <w:t>The data that will be compared and analysed includes average exchange rates for 1986 – 2010, the GDP reports, FDI percentile of the GDP for the years of study. Furthermore, for clarity purposes, I will group my data FDI data to the 6 main sectors in the country to give further reliability to my research.</w:t>
      </w:r>
    </w:p>
    <w:p w14:paraId="5F73C404" w14:textId="77777777" w:rsidR="001F5B07" w:rsidRDefault="001F5B07">
      <w:pPr>
        <w:pStyle w:val="a3"/>
        <w:spacing w:before="4"/>
        <w:rPr>
          <w:sz w:val="16"/>
        </w:rPr>
      </w:pPr>
    </w:p>
    <w:p w14:paraId="7733BAD8" w14:textId="77777777" w:rsidR="001F5B07" w:rsidRDefault="000A05EA">
      <w:pPr>
        <w:pStyle w:val="a3"/>
        <w:spacing w:line="360" w:lineRule="auto"/>
        <w:ind w:left="159" w:right="1033"/>
      </w:pPr>
      <w:r>
        <w:t>In addressing data quality issues, I will address data reliability issues by ensuring a framework that avoids any form of bias and errors in my hypothesis (Bryman and Bell, 2011: 41; Saunders et al., 2009: 156). I will ensure that my data source is visible; referencing all sources to make sure that another researcher can conduct a similar research design and produce comparable findings based on my findings. This will affirm the quality of the research work.</w:t>
      </w:r>
    </w:p>
    <w:p w14:paraId="1693F82B" w14:textId="77777777" w:rsidR="001F5B07" w:rsidRDefault="001F5B07">
      <w:pPr>
        <w:spacing w:line="360" w:lineRule="auto"/>
        <w:sectPr w:rsidR="001F5B07">
          <w:pgSz w:w="11910" w:h="16840"/>
          <w:pgMar w:top="1180" w:right="400" w:bottom="1280" w:left="1280" w:header="372" w:footer="1098" w:gutter="0"/>
          <w:cols w:space="720"/>
        </w:sectPr>
      </w:pPr>
    </w:p>
    <w:p w14:paraId="45A43B4C" w14:textId="77777777" w:rsidR="001F5B07" w:rsidRDefault="001F5B07">
      <w:pPr>
        <w:pStyle w:val="a3"/>
        <w:spacing w:before="3"/>
        <w:rPr>
          <w:sz w:val="16"/>
        </w:rPr>
      </w:pPr>
    </w:p>
    <w:p w14:paraId="4883BCDC" w14:textId="77777777" w:rsidR="001F5B07" w:rsidRDefault="000A05EA">
      <w:pPr>
        <w:pStyle w:val="a3"/>
        <w:spacing w:before="55" w:line="360" w:lineRule="auto"/>
        <w:ind w:left="160" w:right="1108"/>
      </w:pPr>
      <w:bookmarkStart w:id="13" w:name="_bookmark5"/>
      <w:bookmarkEnd w:id="13"/>
      <w:r>
        <w:t>On the data analysis phase of my research work, a longitudinal study which will examine patterns, trends and behaviours of exchange rates over a period of time will be done. The design will focus on changes over time and could apply to FDI inflow performance over 25 years, grouping EDI data into relevant industry sectors.</w:t>
      </w:r>
    </w:p>
    <w:p w14:paraId="00F10D22" w14:textId="77777777" w:rsidR="001F5B07" w:rsidRDefault="001F5B07">
      <w:pPr>
        <w:pStyle w:val="a3"/>
        <w:spacing w:before="4"/>
        <w:rPr>
          <w:sz w:val="16"/>
        </w:rPr>
      </w:pPr>
    </w:p>
    <w:p w14:paraId="3A917039" w14:textId="77777777" w:rsidR="001F5B07" w:rsidRDefault="000A05EA">
      <w:pPr>
        <w:pStyle w:val="a3"/>
        <w:spacing w:line="360" w:lineRule="auto"/>
        <w:ind w:left="159" w:right="1034"/>
      </w:pPr>
      <w:r>
        <w:t>The Generalized Autoregressive Conditional Heteroscedasticity (GARCH) model will be used in estimating Exchange rate volatility for the25 year (1985 – 2010) period. GARCH models are very useful for filtering, forecasting, and parameter estimation in stochastic volatility settings (FLEMING &amp; KIRBY, 2003). GARCH models provide a wonderful tool in exchange rate series comparison and forecast.</w:t>
      </w:r>
    </w:p>
    <w:p w14:paraId="788B0E40" w14:textId="77777777" w:rsidR="001F5B07" w:rsidRDefault="001F5B07">
      <w:pPr>
        <w:pStyle w:val="a3"/>
        <w:spacing w:before="5"/>
        <w:rPr>
          <w:sz w:val="16"/>
        </w:rPr>
      </w:pPr>
    </w:p>
    <w:p w14:paraId="09AEA6DD" w14:textId="77777777" w:rsidR="001F5B07" w:rsidRDefault="000A05EA">
      <w:pPr>
        <w:pStyle w:val="a3"/>
        <w:ind w:left="159"/>
      </w:pPr>
      <w:r>
        <w:t>In summary my research will be conducted in the following steps:</w:t>
      </w:r>
    </w:p>
    <w:p w14:paraId="0C441846" w14:textId="77777777" w:rsidR="001F5B07" w:rsidRDefault="001F5B07">
      <w:pPr>
        <w:pStyle w:val="a3"/>
        <w:spacing w:before="4"/>
        <w:rPr>
          <w:sz w:val="27"/>
        </w:rPr>
      </w:pPr>
    </w:p>
    <w:p w14:paraId="2B63DA72" w14:textId="77777777" w:rsidR="001F5B07" w:rsidRDefault="000A05EA">
      <w:pPr>
        <w:pStyle w:val="3"/>
        <w:rPr>
          <w:u w:val="none"/>
        </w:rPr>
      </w:pPr>
      <w:r>
        <w:rPr>
          <w:u w:val="thick"/>
        </w:rPr>
        <w:t>Step 1</w:t>
      </w:r>
    </w:p>
    <w:p w14:paraId="30C016EA" w14:textId="77777777" w:rsidR="001F5B07" w:rsidRDefault="000A05EA">
      <w:pPr>
        <w:pStyle w:val="a3"/>
        <w:spacing w:before="134" w:line="360" w:lineRule="auto"/>
        <w:ind w:left="160" w:right="1165" w:hanging="1"/>
      </w:pPr>
      <w:r>
        <w:t>This will involve gathering analysis, literature and data from previous studies. This will be done with the view of reading and analysing to understand the hypothesis made in the previous research.</w:t>
      </w:r>
    </w:p>
    <w:p w14:paraId="543BDE22" w14:textId="77777777" w:rsidR="001F5B07" w:rsidRDefault="001F5B07">
      <w:pPr>
        <w:pStyle w:val="a3"/>
        <w:spacing w:before="5"/>
        <w:rPr>
          <w:sz w:val="16"/>
        </w:rPr>
      </w:pPr>
    </w:p>
    <w:p w14:paraId="17C59100" w14:textId="77777777" w:rsidR="001F5B07" w:rsidRDefault="000A05EA">
      <w:pPr>
        <w:pStyle w:val="3"/>
        <w:rPr>
          <w:u w:val="none"/>
        </w:rPr>
      </w:pPr>
      <w:r>
        <w:rPr>
          <w:u w:val="thick"/>
        </w:rPr>
        <w:t>Step 2</w:t>
      </w:r>
    </w:p>
    <w:p w14:paraId="11586DE4" w14:textId="77777777" w:rsidR="001F5B07" w:rsidRDefault="000A05EA">
      <w:pPr>
        <w:pStyle w:val="a3"/>
        <w:spacing w:before="39" w:line="276" w:lineRule="auto"/>
        <w:ind w:left="160" w:right="1068" w:hanging="1"/>
      </w:pPr>
      <w:r>
        <w:t>this step will entail data gathering or data collation from the various sources as described in the data collection methods section below. All ethical and reliability concerns will be addressed during this stage. The Study will be based on Times Series Data collected from period 1985 to 2010</w:t>
      </w:r>
    </w:p>
    <w:p w14:paraId="087C82D9" w14:textId="77777777" w:rsidR="001F5B07" w:rsidRDefault="001F5B07">
      <w:pPr>
        <w:pStyle w:val="a3"/>
        <w:spacing w:before="4"/>
        <w:rPr>
          <w:sz w:val="16"/>
        </w:rPr>
      </w:pPr>
    </w:p>
    <w:p w14:paraId="2BB46918" w14:textId="77777777" w:rsidR="001F5B07" w:rsidRDefault="000A05EA">
      <w:pPr>
        <w:pStyle w:val="3"/>
        <w:rPr>
          <w:u w:val="none"/>
        </w:rPr>
      </w:pPr>
      <w:r>
        <w:rPr>
          <w:u w:val="thick"/>
        </w:rPr>
        <w:t>Step 3</w:t>
      </w:r>
    </w:p>
    <w:p w14:paraId="43308247" w14:textId="77777777" w:rsidR="001F5B07" w:rsidRDefault="000A05EA">
      <w:pPr>
        <w:pStyle w:val="a3"/>
        <w:spacing w:before="134" w:line="360" w:lineRule="auto"/>
        <w:ind w:left="160" w:right="1306" w:hanging="1"/>
        <w:jc w:val="both"/>
      </w:pPr>
      <w:r>
        <w:t>the exchange rate data will be analysed using a GARCH model to allow for clear comparison of the exchange rates and FDI inflows historic data. Proper regression and correlation test will be carried out as appropriate.</w:t>
      </w:r>
    </w:p>
    <w:p w14:paraId="3702BF5A" w14:textId="77777777" w:rsidR="001F5B07" w:rsidRDefault="001F5B07">
      <w:pPr>
        <w:pStyle w:val="a3"/>
        <w:spacing w:before="4"/>
        <w:rPr>
          <w:sz w:val="16"/>
        </w:rPr>
      </w:pPr>
    </w:p>
    <w:p w14:paraId="7F73A633" w14:textId="77777777" w:rsidR="001F5B07" w:rsidRDefault="000A05EA">
      <w:pPr>
        <w:pStyle w:val="3"/>
        <w:rPr>
          <w:u w:val="none"/>
        </w:rPr>
      </w:pPr>
      <w:r>
        <w:rPr>
          <w:u w:val="thick"/>
        </w:rPr>
        <w:t>Step 4</w:t>
      </w:r>
    </w:p>
    <w:p w14:paraId="12BBEFCF" w14:textId="77777777" w:rsidR="001F5B07" w:rsidRDefault="000A05EA">
      <w:pPr>
        <w:pStyle w:val="a3"/>
        <w:spacing w:before="134" w:line="360" w:lineRule="auto"/>
        <w:ind w:left="160" w:right="2200" w:hanging="1"/>
      </w:pPr>
      <w:r>
        <w:t>Based on the results of the data analysis, inference will be deduced to facilitate possible recommendation.</w:t>
      </w:r>
    </w:p>
    <w:p w14:paraId="4EEBA6A6" w14:textId="77777777" w:rsidR="001F5B07" w:rsidRDefault="001F5B07">
      <w:pPr>
        <w:pStyle w:val="a3"/>
        <w:spacing w:before="4"/>
        <w:rPr>
          <w:sz w:val="16"/>
        </w:rPr>
      </w:pPr>
    </w:p>
    <w:p w14:paraId="41650EF6" w14:textId="77777777" w:rsidR="001F5B07" w:rsidRDefault="000A05EA">
      <w:pPr>
        <w:pStyle w:val="2"/>
      </w:pPr>
      <w:bookmarkStart w:id="14" w:name="Data_Collection_methods"/>
      <w:bookmarkEnd w:id="14"/>
      <w:r>
        <w:t>Data Collection methods</w:t>
      </w:r>
    </w:p>
    <w:p w14:paraId="5CFBD958" w14:textId="77777777" w:rsidR="001F5B07" w:rsidRDefault="000A05EA">
      <w:pPr>
        <w:pStyle w:val="a3"/>
        <w:spacing w:before="158" w:line="360" w:lineRule="auto"/>
        <w:ind w:left="160" w:right="1185" w:hanging="1"/>
      </w:pPr>
      <w:r>
        <w:t xml:space="preserve">Data for this study will be sourced secondarily from the publications of the Central bank of Nigeria (CBN). </w:t>
      </w:r>
      <w:proofErr w:type="gramStart"/>
      <w:r>
        <w:t>This publications</w:t>
      </w:r>
      <w:proofErr w:type="gramEnd"/>
      <w:r>
        <w:t xml:space="preserve"> include; Statistical Bulletin, Occasional Papers, Economic and Financial Review, Annual Report and Statistics. Data for this study will also be sorted from the IMF database and reports from World Trade Organization and statistical data from United Nations Conference on Trade and Development (UNCTD).</w:t>
      </w:r>
    </w:p>
    <w:p w14:paraId="44CDE6FA" w14:textId="77777777" w:rsidR="001F5B07" w:rsidRDefault="001F5B07">
      <w:pPr>
        <w:spacing w:line="360" w:lineRule="auto"/>
        <w:sectPr w:rsidR="001F5B07">
          <w:pgSz w:w="11910" w:h="16840"/>
          <w:pgMar w:top="1180" w:right="400" w:bottom="1280" w:left="1280" w:header="372" w:footer="1098" w:gutter="0"/>
          <w:cols w:space="720"/>
        </w:sectPr>
      </w:pPr>
    </w:p>
    <w:p w14:paraId="2A22CEC7" w14:textId="77777777" w:rsidR="001F5B07" w:rsidRDefault="001F5B07">
      <w:pPr>
        <w:pStyle w:val="a3"/>
        <w:spacing w:before="11"/>
        <w:rPr>
          <w:sz w:val="16"/>
        </w:rPr>
      </w:pPr>
    </w:p>
    <w:p w14:paraId="1463667D" w14:textId="77777777" w:rsidR="001F5B07" w:rsidRDefault="000A05EA">
      <w:pPr>
        <w:pStyle w:val="2"/>
        <w:spacing w:before="47"/>
      </w:pPr>
      <w:bookmarkStart w:id="15" w:name="Ethical_Issues"/>
      <w:bookmarkStart w:id="16" w:name="_bookmark6"/>
      <w:bookmarkEnd w:id="15"/>
      <w:bookmarkEnd w:id="16"/>
      <w:r>
        <w:t>Ethical Issues</w:t>
      </w:r>
    </w:p>
    <w:p w14:paraId="445F73BF" w14:textId="77777777" w:rsidR="001F5B07" w:rsidRDefault="000A05EA">
      <w:pPr>
        <w:pStyle w:val="a3"/>
        <w:spacing w:before="158" w:line="360" w:lineRule="auto"/>
        <w:ind w:left="159" w:right="1416"/>
        <w:jc w:val="both"/>
      </w:pPr>
      <w:r>
        <w:t>The word “ethics” in the research context refers to rules, principles and standard of conduct that apply to the analysis (McMillan and Weyers, 2007). Being a research that involves gathering data and analysing it all forms of confidentiality and accuracy will be adhered to.</w:t>
      </w:r>
    </w:p>
    <w:p w14:paraId="1CE831EB" w14:textId="77777777" w:rsidR="001F5B07" w:rsidRDefault="001F5B07">
      <w:pPr>
        <w:pStyle w:val="a3"/>
        <w:spacing w:before="4"/>
        <w:rPr>
          <w:sz w:val="16"/>
        </w:rPr>
      </w:pPr>
    </w:p>
    <w:p w14:paraId="12CFBB72" w14:textId="77777777" w:rsidR="001F5B07" w:rsidRDefault="000A05EA">
      <w:pPr>
        <w:pStyle w:val="a3"/>
        <w:spacing w:line="360" w:lineRule="auto"/>
        <w:ind w:left="160" w:right="1142" w:hanging="1"/>
      </w:pPr>
      <w:r>
        <w:t>I do not foresee any ethical issue as data that will be analysed are from secondary sources and from released audited reports from respectable sources but I will make sure I adhere to any form of confidentiality I encounter in this research.</w:t>
      </w:r>
    </w:p>
    <w:p w14:paraId="4656CB4C" w14:textId="77777777" w:rsidR="001F5B07" w:rsidRDefault="001F5B07">
      <w:pPr>
        <w:pStyle w:val="a3"/>
        <w:spacing w:before="4"/>
        <w:rPr>
          <w:sz w:val="16"/>
        </w:rPr>
      </w:pPr>
    </w:p>
    <w:p w14:paraId="0AC1F602" w14:textId="77777777" w:rsidR="001F5B07" w:rsidRDefault="000A05EA">
      <w:pPr>
        <w:pStyle w:val="a3"/>
        <w:spacing w:line="360" w:lineRule="auto"/>
        <w:ind w:left="159" w:right="1934" w:hanging="1"/>
      </w:pPr>
      <w:r>
        <w:t>Furthermore, another important issue is plagiarism. Any previous work that will help in the development of the research will be mentioned in the text and also in the references.</w:t>
      </w:r>
    </w:p>
    <w:p w14:paraId="4E076492" w14:textId="77777777" w:rsidR="001F5B07" w:rsidRDefault="001F5B07">
      <w:pPr>
        <w:pStyle w:val="a3"/>
      </w:pPr>
    </w:p>
    <w:p w14:paraId="0CAA1793" w14:textId="77777777" w:rsidR="001F5B07" w:rsidRDefault="001F5B07">
      <w:pPr>
        <w:pStyle w:val="a3"/>
        <w:spacing w:before="3"/>
        <w:rPr>
          <w:sz w:val="17"/>
        </w:rPr>
      </w:pPr>
    </w:p>
    <w:p w14:paraId="74571068" w14:textId="77777777" w:rsidR="001F5B07" w:rsidRDefault="000A05EA">
      <w:pPr>
        <w:pStyle w:val="1"/>
        <w:spacing w:before="0"/>
      </w:pPr>
      <w:bookmarkStart w:id="17" w:name="Research_Plan"/>
      <w:bookmarkEnd w:id="17"/>
      <w:r>
        <w:t>Research Plan</w:t>
      </w:r>
    </w:p>
    <w:p w14:paraId="4B1D53DA" w14:textId="77777777" w:rsidR="001F5B07" w:rsidRDefault="001F5B07">
      <w:pPr>
        <w:pStyle w:val="a3"/>
        <w:spacing w:before="5"/>
        <w:rPr>
          <w:b/>
          <w:sz w:val="30"/>
        </w:rPr>
      </w:pPr>
    </w:p>
    <w:p w14:paraId="3F26A597" w14:textId="77777777" w:rsidR="001F5B07" w:rsidRDefault="000A05EA">
      <w:pPr>
        <w:pStyle w:val="2"/>
        <w:spacing w:before="1"/>
      </w:pPr>
      <w:bookmarkStart w:id="18" w:name="Organization_of_the_study"/>
      <w:bookmarkEnd w:id="18"/>
      <w:r>
        <w:t>Organization of the study</w:t>
      </w:r>
    </w:p>
    <w:p w14:paraId="48AB7210" w14:textId="77777777" w:rsidR="001F5B07" w:rsidRDefault="000A05EA">
      <w:pPr>
        <w:pStyle w:val="a3"/>
        <w:spacing w:before="157" w:line="360" w:lineRule="auto"/>
        <w:ind w:left="160" w:right="1207" w:hanging="1"/>
      </w:pPr>
      <w:r>
        <w:t>The main dissertation will be organized as follows; Chapter 1 will give an introduction and background study of the two subject areas (FDI and Exchange Rate Fluctuation). Chapter 2 will present a theoretical and empirical literature on the determinants of foreign direct investment and the Implication Exchange Rate Fluctuation has in influencing MNE’s decision to invest. The econometric model, hypotheses, definition of variables and data descriptions will be presented in Chapter 3 and Chapter 4 will present estimation results, analysis, discussion, and policy recommendations.</w:t>
      </w:r>
    </w:p>
    <w:p w14:paraId="7443B257" w14:textId="77777777" w:rsidR="001F5B07" w:rsidRDefault="001F5B07">
      <w:pPr>
        <w:pStyle w:val="a3"/>
        <w:spacing w:before="5"/>
        <w:rPr>
          <w:sz w:val="16"/>
        </w:rPr>
      </w:pPr>
    </w:p>
    <w:p w14:paraId="641DAE56" w14:textId="77777777" w:rsidR="001F5B07" w:rsidRDefault="000A05EA">
      <w:pPr>
        <w:pStyle w:val="2"/>
      </w:pPr>
      <w:bookmarkStart w:id="19" w:name="Project_Plan"/>
      <w:bookmarkEnd w:id="19"/>
      <w:r>
        <w:t>Project Plan</w:t>
      </w:r>
    </w:p>
    <w:p w14:paraId="61B60776" w14:textId="77777777" w:rsidR="001F5B07" w:rsidRDefault="000A05EA">
      <w:pPr>
        <w:pStyle w:val="a3"/>
        <w:spacing w:before="157" w:line="360" w:lineRule="auto"/>
        <w:ind w:left="160" w:right="1047" w:hanging="1"/>
      </w:pPr>
      <w:r>
        <w:t>Planning and preparing the project from the most essential tasks to the most complex tasks is of utmost importance. A Gantt chart provides a brilliant way of planning and tracking a project. The Gantt chart will also identify clearly which jobs have to be carried out first and ensuring it is achieved within a tight schedule. (Sanders, Lewis and Thornhill, 2009)</w:t>
      </w:r>
    </w:p>
    <w:p w14:paraId="1F491B20" w14:textId="77777777" w:rsidR="001F5B07" w:rsidRDefault="001F5B07">
      <w:pPr>
        <w:pStyle w:val="a3"/>
        <w:spacing w:before="4"/>
        <w:rPr>
          <w:sz w:val="16"/>
        </w:rPr>
      </w:pPr>
    </w:p>
    <w:p w14:paraId="52A26B9F" w14:textId="77777777" w:rsidR="001F5B07" w:rsidRDefault="000A05EA">
      <w:pPr>
        <w:pStyle w:val="a3"/>
        <w:spacing w:line="360" w:lineRule="auto"/>
        <w:ind w:left="159" w:right="1084"/>
      </w:pPr>
      <w:r>
        <w:t>The literature and review of the subject areas, as well as collating and interpretation of all the data, will be carried out between the months of March and April, Data collation, analysis and writing my observations and argument will be done between May and early July. A period of three weeks will be set aside to submit an initial draft and get appropriate feedback to make amendments in possible areas that might have been omitted or where corrections need to be</w:t>
      </w:r>
      <w:r>
        <w:rPr>
          <w:spacing w:val="-22"/>
        </w:rPr>
        <w:t xml:space="preserve"> </w:t>
      </w:r>
      <w:r>
        <w:t>made.</w:t>
      </w:r>
    </w:p>
    <w:p w14:paraId="3C079A2A" w14:textId="77777777" w:rsidR="001F5B07" w:rsidRDefault="001F5B07">
      <w:pPr>
        <w:spacing w:line="360" w:lineRule="auto"/>
        <w:sectPr w:rsidR="001F5B07">
          <w:footerReference w:type="default" r:id="rId9"/>
          <w:pgSz w:w="11910" w:h="16840"/>
          <w:pgMar w:top="1180" w:right="400" w:bottom="1280" w:left="1280" w:header="372" w:footer="1098" w:gutter="0"/>
          <w:cols w:space="720"/>
        </w:sectPr>
      </w:pPr>
    </w:p>
    <w:p w14:paraId="0AB20A36" w14:textId="77777777" w:rsidR="001F5B07" w:rsidRDefault="001F5B07">
      <w:pPr>
        <w:pStyle w:val="a3"/>
        <w:spacing w:before="3"/>
        <w:rPr>
          <w:sz w:val="16"/>
        </w:rPr>
      </w:pPr>
    </w:p>
    <w:p w14:paraId="6B3E81FF" w14:textId="77777777" w:rsidR="001F5B07" w:rsidRDefault="000A05EA">
      <w:pPr>
        <w:pStyle w:val="a3"/>
        <w:spacing w:before="55" w:line="360" w:lineRule="auto"/>
        <w:ind w:left="160" w:right="1287" w:hanging="1"/>
      </w:pPr>
      <w:r>
        <w:t>Although part of the key literature research has already been carried out, the majority of the investigation is yet to be completed and for that reason the Gantt chart below which indicates the proposed level of work to be done will start from the month of March.</w:t>
      </w:r>
    </w:p>
    <w:p w14:paraId="580DFF4F" w14:textId="77777777" w:rsidR="001F5B07" w:rsidRDefault="001F5B07">
      <w:pPr>
        <w:pStyle w:val="a3"/>
      </w:pPr>
    </w:p>
    <w:p w14:paraId="2C08544A" w14:textId="77777777" w:rsidR="001F5B07" w:rsidRDefault="001F5B07">
      <w:pPr>
        <w:pStyle w:val="a3"/>
      </w:pPr>
    </w:p>
    <w:p w14:paraId="56966583" w14:textId="77777777" w:rsidR="001F5B07" w:rsidRDefault="000A05EA">
      <w:pPr>
        <w:pStyle w:val="a3"/>
        <w:spacing w:before="172"/>
        <w:ind w:left="159"/>
      </w:pPr>
      <w:r>
        <w:t>*Please note on the Gantt chart that week refers to the first working day (Monday) of the week</w:t>
      </w:r>
    </w:p>
    <w:p w14:paraId="62C12921" w14:textId="77777777" w:rsidR="001F5B07" w:rsidRDefault="001F5B07">
      <w:pPr>
        <w:sectPr w:rsidR="001F5B07">
          <w:footerReference w:type="default" r:id="rId10"/>
          <w:pgSz w:w="11910" w:h="16840"/>
          <w:pgMar w:top="1180" w:right="400" w:bottom="1280" w:left="1280" w:header="372" w:footer="1098" w:gutter="0"/>
          <w:cols w:space="720"/>
        </w:sectPr>
      </w:pPr>
    </w:p>
    <w:p w14:paraId="2753CF53" w14:textId="77777777" w:rsidR="001F5B07" w:rsidRDefault="00B138C9">
      <w:pPr>
        <w:pStyle w:val="a3"/>
        <w:ind w:left="7955"/>
        <w:rPr>
          <w:sz w:val="20"/>
        </w:rPr>
      </w:pPr>
      <w:r>
        <w:pict w14:anchorId="3A8AB19F">
          <v:line id="_x0000_s1094" style="position:absolute;left:0;text-align:left;z-index:-251658240;mso-position-horizontal-relative:page;mso-position-vertical-relative:page" from="66.85pt,113.45pt" to="127.6pt,139.6pt" strokeweight=".48pt">
            <w10:wrap anchorx="page" anchory="page"/>
          </v:line>
        </w:pict>
      </w:r>
      <w:r w:rsidR="000A05EA">
        <w:rPr>
          <w:noProof/>
          <w:sz w:val="20"/>
        </w:rPr>
        <w:drawing>
          <wp:inline distT="0" distB="0" distL="0" distR="0" wp14:anchorId="75CCF461" wp14:editId="52C8225A">
            <wp:extent cx="1408754" cy="51054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1408754" cy="510540"/>
                    </a:xfrm>
                    <a:prstGeom prst="rect">
                      <a:avLst/>
                    </a:prstGeom>
                  </pic:spPr>
                </pic:pic>
              </a:graphicData>
            </a:graphic>
          </wp:inline>
        </w:drawing>
      </w:r>
    </w:p>
    <w:p w14:paraId="5545720D" w14:textId="77777777" w:rsidR="001F5B07" w:rsidRDefault="001F5B07">
      <w:pPr>
        <w:pStyle w:val="a3"/>
        <w:rPr>
          <w:sz w:val="20"/>
        </w:rPr>
      </w:pPr>
    </w:p>
    <w:p w14:paraId="643540D3" w14:textId="77777777" w:rsidR="001F5B07" w:rsidRDefault="001F5B07">
      <w:pPr>
        <w:pStyle w:val="a3"/>
        <w:rPr>
          <w:sz w:val="20"/>
        </w:rPr>
      </w:pPr>
    </w:p>
    <w:p w14:paraId="6A04D244" w14:textId="77777777" w:rsidR="001F5B07" w:rsidRDefault="001F5B07">
      <w:pPr>
        <w:pStyle w:val="a3"/>
        <w:spacing w:before="2"/>
        <w:rPr>
          <w:sz w:val="21"/>
        </w:rPr>
      </w:pPr>
    </w:p>
    <w:tbl>
      <w:tblPr>
        <w:tblStyle w:val="TableNormal"/>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5"/>
        <w:gridCol w:w="456"/>
        <w:gridCol w:w="456"/>
        <w:gridCol w:w="456"/>
        <w:gridCol w:w="456"/>
        <w:gridCol w:w="456"/>
        <w:gridCol w:w="480"/>
        <w:gridCol w:w="480"/>
        <w:gridCol w:w="416"/>
        <w:gridCol w:w="418"/>
        <w:gridCol w:w="416"/>
        <w:gridCol w:w="480"/>
        <w:gridCol w:w="480"/>
        <w:gridCol w:w="482"/>
        <w:gridCol w:w="480"/>
        <w:gridCol w:w="480"/>
        <w:gridCol w:w="480"/>
        <w:gridCol w:w="481"/>
        <w:gridCol w:w="480"/>
        <w:gridCol w:w="480"/>
        <w:gridCol w:w="480"/>
        <w:gridCol w:w="484"/>
        <w:gridCol w:w="446"/>
        <w:gridCol w:w="589"/>
        <w:gridCol w:w="545"/>
      </w:tblGrid>
      <w:tr w:rsidR="001F5B07" w14:paraId="3C9C3653" w14:textId="77777777">
        <w:trPr>
          <w:trHeight w:hRule="exact" w:val="324"/>
        </w:trPr>
        <w:tc>
          <w:tcPr>
            <w:tcW w:w="1225" w:type="dxa"/>
          </w:tcPr>
          <w:p w14:paraId="56035EF5" w14:textId="77777777" w:rsidR="001F5B07" w:rsidRDefault="000A05EA">
            <w:pPr>
              <w:pStyle w:val="TableParagraph"/>
              <w:spacing w:before="50"/>
              <w:ind w:left="102" w:right="102"/>
              <w:jc w:val="center"/>
              <w:rPr>
                <w:sz w:val="18"/>
              </w:rPr>
            </w:pPr>
            <w:r>
              <w:rPr>
                <w:sz w:val="18"/>
              </w:rPr>
              <w:t>Months</w:t>
            </w:r>
          </w:p>
        </w:tc>
        <w:tc>
          <w:tcPr>
            <w:tcW w:w="1824" w:type="dxa"/>
            <w:gridSpan w:val="4"/>
          </w:tcPr>
          <w:p w14:paraId="5A5EB831" w14:textId="77777777" w:rsidR="001F5B07" w:rsidRDefault="000A05EA">
            <w:pPr>
              <w:pStyle w:val="TableParagraph"/>
              <w:spacing w:before="50"/>
              <w:ind w:left="637" w:right="637"/>
              <w:jc w:val="center"/>
              <w:rPr>
                <w:sz w:val="18"/>
              </w:rPr>
            </w:pPr>
            <w:r>
              <w:rPr>
                <w:sz w:val="18"/>
              </w:rPr>
              <w:t>March</w:t>
            </w:r>
          </w:p>
        </w:tc>
        <w:tc>
          <w:tcPr>
            <w:tcW w:w="2250" w:type="dxa"/>
            <w:gridSpan w:val="5"/>
          </w:tcPr>
          <w:p w14:paraId="7ECD0BCF" w14:textId="77777777" w:rsidR="001F5B07" w:rsidRDefault="000A05EA">
            <w:pPr>
              <w:pStyle w:val="TableParagraph"/>
              <w:spacing w:before="50"/>
              <w:ind w:left="920" w:right="920"/>
              <w:jc w:val="center"/>
              <w:rPr>
                <w:sz w:val="18"/>
              </w:rPr>
            </w:pPr>
            <w:r>
              <w:rPr>
                <w:sz w:val="18"/>
              </w:rPr>
              <w:t>April</w:t>
            </w:r>
          </w:p>
        </w:tc>
        <w:tc>
          <w:tcPr>
            <w:tcW w:w="1858" w:type="dxa"/>
            <w:gridSpan w:val="4"/>
          </w:tcPr>
          <w:p w14:paraId="1B4B0681" w14:textId="77777777" w:rsidR="001F5B07" w:rsidRDefault="000A05EA">
            <w:pPr>
              <w:pStyle w:val="TableParagraph"/>
              <w:spacing w:before="50"/>
              <w:ind w:left="734" w:right="733"/>
              <w:jc w:val="center"/>
              <w:rPr>
                <w:sz w:val="18"/>
              </w:rPr>
            </w:pPr>
            <w:r>
              <w:rPr>
                <w:sz w:val="18"/>
              </w:rPr>
              <w:t>May</w:t>
            </w:r>
          </w:p>
        </w:tc>
        <w:tc>
          <w:tcPr>
            <w:tcW w:w="1921" w:type="dxa"/>
            <w:gridSpan w:val="4"/>
          </w:tcPr>
          <w:p w14:paraId="2845318C" w14:textId="77777777" w:rsidR="001F5B07" w:rsidRDefault="000A05EA">
            <w:pPr>
              <w:pStyle w:val="TableParagraph"/>
              <w:spacing w:before="50"/>
              <w:ind w:left="730" w:right="751"/>
              <w:jc w:val="center"/>
              <w:rPr>
                <w:sz w:val="18"/>
              </w:rPr>
            </w:pPr>
            <w:r>
              <w:rPr>
                <w:sz w:val="18"/>
              </w:rPr>
              <w:t>June</w:t>
            </w:r>
          </w:p>
        </w:tc>
        <w:tc>
          <w:tcPr>
            <w:tcW w:w="2370" w:type="dxa"/>
            <w:gridSpan w:val="5"/>
          </w:tcPr>
          <w:p w14:paraId="018A818F" w14:textId="77777777" w:rsidR="001F5B07" w:rsidRDefault="000A05EA">
            <w:pPr>
              <w:pStyle w:val="TableParagraph"/>
              <w:spacing w:before="50"/>
              <w:ind w:left="990" w:right="1009"/>
              <w:jc w:val="center"/>
              <w:rPr>
                <w:sz w:val="18"/>
              </w:rPr>
            </w:pPr>
            <w:r>
              <w:rPr>
                <w:sz w:val="18"/>
              </w:rPr>
              <w:t>July</w:t>
            </w:r>
          </w:p>
        </w:tc>
        <w:tc>
          <w:tcPr>
            <w:tcW w:w="1134" w:type="dxa"/>
            <w:gridSpan w:val="2"/>
          </w:tcPr>
          <w:p w14:paraId="3998F92E" w14:textId="77777777" w:rsidR="001F5B07" w:rsidRDefault="000A05EA">
            <w:pPr>
              <w:pStyle w:val="TableParagraph"/>
              <w:spacing w:before="50"/>
              <w:ind w:left="282"/>
              <w:rPr>
                <w:sz w:val="18"/>
              </w:rPr>
            </w:pPr>
            <w:r>
              <w:rPr>
                <w:sz w:val="18"/>
              </w:rPr>
              <w:t>August</w:t>
            </w:r>
          </w:p>
        </w:tc>
      </w:tr>
      <w:tr w:rsidR="001F5B07" w14:paraId="57DBAA1F" w14:textId="77777777">
        <w:trPr>
          <w:trHeight w:hRule="exact" w:val="533"/>
        </w:trPr>
        <w:tc>
          <w:tcPr>
            <w:tcW w:w="1225" w:type="dxa"/>
          </w:tcPr>
          <w:p w14:paraId="4FDCE093" w14:textId="77777777" w:rsidR="001F5B07" w:rsidRDefault="000A05EA">
            <w:pPr>
              <w:pStyle w:val="TableParagraph"/>
              <w:spacing w:before="52"/>
              <w:ind w:left="103" w:right="122" w:firstLine="440"/>
              <w:rPr>
                <w:sz w:val="18"/>
              </w:rPr>
            </w:pPr>
            <w:r>
              <w:rPr>
                <w:sz w:val="18"/>
              </w:rPr>
              <w:t>Week* Activities</w:t>
            </w:r>
          </w:p>
        </w:tc>
        <w:tc>
          <w:tcPr>
            <w:tcW w:w="456" w:type="dxa"/>
          </w:tcPr>
          <w:p w14:paraId="67A039BF" w14:textId="77777777" w:rsidR="001F5B07" w:rsidRDefault="000A05EA">
            <w:pPr>
              <w:pStyle w:val="TableParagraph"/>
              <w:jc w:val="center"/>
              <w:rPr>
                <w:sz w:val="18"/>
              </w:rPr>
            </w:pPr>
            <w:r>
              <w:rPr>
                <w:w w:val="99"/>
                <w:sz w:val="18"/>
              </w:rPr>
              <w:t>5</w:t>
            </w:r>
          </w:p>
        </w:tc>
        <w:tc>
          <w:tcPr>
            <w:tcW w:w="456" w:type="dxa"/>
          </w:tcPr>
          <w:p w14:paraId="08D44622" w14:textId="77777777" w:rsidR="001F5B07" w:rsidRDefault="000A05EA">
            <w:pPr>
              <w:pStyle w:val="TableParagraph"/>
              <w:ind w:left="123"/>
              <w:rPr>
                <w:sz w:val="18"/>
              </w:rPr>
            </w:pPr>
            <w:r>
              <w:rPr>
                <w:sz w:val="18"/>
              </w:rPr>
              <w:t>12</w:t>
            </w:r>
          </w:p>
        </w:tc>
        <w:tc>
          <w:tcPr>
            <w:tcW w:w="456" w:type="dxa"/>
          </w:tcPr>
          <w:p w14:paraId="52932F7D" w14:textId="77777777" w:rsidR="001F5B07" w:rsidRDefault="000A05EA">
            <w:pPr>
              <w:pStyle w:val="TableParagraph"/>
              <w:ind w:left="123"/>
              <w:rPr>
                <w:sz w:val="18"/>
              </w:rPr>
            </w:pPr>
            <w:r>
              <w:rPr>
                <w:sz w:val="18"/>
              </w:rPr>
              <w:t>19</w:t>
            </w:r>
          </w:p>
        </w:tc>
        <w:tc>
          <w:tcPr>
            <w:tcW w:w="456" w:type="dxa"/>
          </w:tcPr>
          <w:p w14:paraId="73919D88" w14:textId="77777777" w:rsidR="001F5B07" w:rsidRDefault="000A05EA">
            <w:pPr>
              <w:pStyle w:val="TableParagraph"/>
              <w:ind w:left="123"/>
              <w:rPr>
                <w:sz w:val="18"/>
              </w:rPr>
            </w:pPr>
            <w:r>
              <w:rPr>
                <w:sz w:val="18"/>
              </w:rPr>
              <w:t>26</w:t>
            </w:r>
          </w:p>
        </w:tc>
        <w:tc>
          <w:tcPr>
            <w:tcW w:w="456" w:type="dxa"/>
          </w:tcPr>
          <w:p w14:paraId="3455636B" w14:textId="77777777" w:rsidR="001F5B07" w:rsidRDefault="000A05EA">
            <w:pPr>
              <w:pStyle w:val="TableParagraph"/>
              <w:jc w:val="center"/>
              <w:rPr>
                <w:sz w:val="18"/>
              </w:rPr>
            </w:pPr>
            <w:r>
              <w:rPr>
                <w:w w:val="99"/>
                <w:sz w:val="18"/>
              </w:rPr>
              <w:t>2</w:t>
            </w:r>
          </w:p>
        </w:tc>
        <w:tc>
          <w:tcPr>
            <w:tcW w:w="480" w:type="dxa"/>
          </w:tcPr>
          <w:p w14:paraId="4AD3C0D5" w14:textId="77777777" w:rsidR="001F5B07" w:rsidRDefault="000A05EA">
            <w:pPr>
              <w:pStyle w:val="TableParagraph"/>
              <w:jc w:val="center"/>
              <w:rPr>
                <w:sz w:val="18"/>
              </w:rPr>
            </w:pPr>
            <w:r>
              <w:rPr>
                <w:w w:val="99"/>
                <w:sz w:val="18"/>
              </w:rPr>
              <w:t>9</w:t>
            </w:r>
          </w:p>
        </w:tc>
        <w:tc>
          <w:tcPr>
            <w:tcW w:w="480" w:type="dxa"/>
          </w:tcPr>
          <w:p w14:paraId="389997BA" w14:textId="77777777" w:rsidR="001F5B07" w:rsidRDefault="000A05EA">
            <w:pPr>
              <w:pStyle w:val="TableParagraph"/>
              <w:ind w:left="135"/>
              <w:rPr>
                <w:sz w:val="18"/>
              </w:rPr>
            </w:pPr>
            <w:r>
              <w:rPr>
                <w:sz w:val="18"/>
              </w:rPr>
              <w:t>16</w:t>
            </w:r>
          </w:p>
        </w:tc>
        <w:tc>
          <w:tcPr>
            <w:tcW w:w="416" w:type="dxa"/>
          </w:tcPr>
          <w:p w14:paraId="775E8712" w14:textId="77777777" w:rsidR="001F5B07" w:rsidRDefault="000A05EA">
            <w:pPr>
              <w:pStyle w:val="TableParagraph"/>
              <w:ind w:left="104"/>
              <w:rPr>
                <w:sz w:val="18"/>
              </w:rPr>
            </w:pPr>
            <w:r>
              <w:rPr>
                <w:sz w:val="18"/>
              </w:rPr>
              <w:t>23</w:t>
            </w:r>
          </w:p>
        </w:tc>
        <w:tc>
          <w:tcPr>
            <w:tcW w:w="418" w:type="dxa"/>
          </w:tcPr>
          <w:p w14:paraId="0070A8D7" w14:textId="77777777" w:rsidR="001F5B07" w:rsidRDefault="000A05EA">
            <w:pPr>
              <w:pStyle w:val="TableParagraph"/>
              <w:ind w:left="104"/>
              <w:rPr>
                <w:sz w:val="18"/>
              </w:rPr>
            </w:pPr>
            <w:r>
              <w:rPr>
                <w:sz w:val="18"/>
              </w:rPr>
              <w:t>30</w:t>
            </w:r>
          </w:p>
        </w:tc>
        <w:tc>
          <w:tcPr>
            <w:tcW w:w="416" w:type="dxa"/>
          </w:tcPr>
          <w:p w14:paraId="7D09F7C6" w14:textId="77777777" w:rsidR="001F5B07" w:rsidRDefault="000A05EA">
            <w:pPr>
              <w:pStyle w:val="TableParagraph"/>
              <w:jc w:val="center"/>
              <w:rPr>
                <w:sz w:val="18"/>
              </w:rPr>
            </w:pPr>
            <w:r>
              <w:rPr>
                <w:w w:val="99"/>
                <w:sz w:val="18"/>
              </w:rPr>
              <w:t>4</w:t>
            </w:r>
          </w:p>
        </w:tc>
        <w:tc>
          <w:tcPr>
            <w:tcW w:w="480" w:type="dxa"/>
          </w:tcPr>
          <w:p w14:paraId="02736590" w14:textId="77777777" w:rsidR="001F5B07" w:rsidRDefault="000A05EA">
            <w:pPr>
              <w:pStyle w:val="TableParagraph"/>
              <w:ind w:left="135"/>
              <w:rPr>
                <w:sz w:val="18"/>
              </w:rPr>
            </w:pPr>
            <w:r>
              <w:rPr>
                <w:sz w:val="18"/>
              </w:rPr>
              <w:t>14</w:t>
            </w:r>
          </w:p>
        </w:tc>
        <w:tc>
          <w:tcPr>
            <w:tcW w:w="480" w:type="dxa"/>
          </w:tcPr>
          <w:p w14:paraId="200C0348" w14:textId="77777777" w:rsidR="001F5B07" w:rsidRDefault="000A05EA">
            <w:pPr>
              <w:pStyle w:val="TableParagraph"/>
              <w:ind w:left="135"/>
              <w:rPr>
                <w:sz w:val="18"/>
              </w:rPr>
            </w:pPr>
            <w:r>
              <w:rPr>
                <w:sz w:val="18"/>
              </w:rPr>
              <w:t>21</w:t>
            </w:r>
          </w:p>
        </w:tc>
        <w:tc>
          <w:tcPr>
            <w:tcW w:w="481" w:type="dxa"/>
          </w:tcPr>
          <w:p w14:paraId="07E69CF5" w14:textId="77777777" w:rsidR="001F5B07" w:rsidRDefault="000A05EA">
            <w:pPr>
              <w:pStyle w:val="TableParagraph"/>
              <w:ind w:left="135"/>
              <w:rPr>
                <w:sz w:val="18"/>
              </w:rPr>
            </w:pPr>
            <w:r>
              <w:rPr>
                <w:sz w:val="18"/>
              </w:rPr>
              <w:t>28</w:t>
            </w:r>
          </w:p>
        </w:tc>
        <w:tc>
          <w:tcPr>
            <w:tcW w:w="480" w:type="dxa"/>
          </w:tcPr>
          <w:p w14:paraId="3520052C" w14:textId="77777777" w:rsidR="001F5B07" w:rsidRDefault="000A05EA">
            <w:pPr>
              <w:pStyle w:val="TableParagraph"/>
              <w:ind w:right="1"/>
              <w:jc w:val="center"/>
              <w:rPr>
                <w:sz w:val="18"/>
              </w:rPr>
            </w:pPr>
            <w:r>
              <w:rPr>
                <w:w w:val="99"/>
                <w:sz w:val="18"/>
              </w:rPr>
              <w:t>4</w:t>
            </w:r>
          </w:p>
        </w:tc>
        <w:tc>
          <w:tcPr>
            <w:tcW w:w="480" w:type="dxa"/>
          </w:tcPr>
          <w:p w14:paraId="28733C3B" w14:textId="77777777" w:rsidR="001F5B07" w:rsidRDefault="000A05EA">
            <w:pPr>
              <w:pStyle w:val="TableParagraph"/>
              <w:ind w:left="135"/>
              <w:rPr>
                <w:sz w:val="18"/>
              </w:rPr>
            </w:pPr>
            <w:r>
              <w:rPr>
                <w:sz w:val="18"/>
              </w:rPr>
              <w:t>11</w:t>
            </w:r>
          </w:p>
        </w:tc>
        <w:tc>
          <w:tcPr>
            <w:tcW w:w="480" w:type="dxa"/>
          </w:tcPr>
          <w:p w14:paraId="67DA75B4" w14:textId="77777777" w:rsidR="001F5B07" w:rsidRDefault="000A05EA">
            <w:pPr>
              <w:pStyle w:val="TableParagraph"/>
              <w:ind w:left="135"/>
              <w:rPr>
                <w:sz w:val="18"/>
              </w:rPr>
            </w:pPr>
            <w:r>
              <w:rPr>
                <w:sz w:val="18"/>
              </w:rPr>
              <w:t>18</w:t>
            </w:r>
          </w:p>
        </w:tc>
        <w:tc>
          <w:tcPr>
            <w:tcW w:w="481" w:type="dxa"/>
          </w:tcPr>
          <w:p w14:paraId="42E2652A" w14:textId="77777777" w:rsidR="001F5B07" w:rsidRDefault="000A05EA">
            <w:pPr>
              <w:pStyle w:val="TableParagraph"/>
              <w:ind w:left="135"/>
              <w:rPr>
                <w:sz w:val="18"/>
              </w:rPr>
            </w:pPr>
            <w:r>
              <w:rPr>
                <w:sz w:val="18"/>
              </w:rPr>
              <w:t>25</w:t>
            </w:r>
          </w:p>
        </w:tc>
        <w:tc>
          <w:tcPr>
            <w:tcW w:w="480" w:type="dxa"/>
          </w:tcPr>
          <w:p w14:paraId="024FCFE2" w14:textId="77777777" w:rsidR="001F5B07" w:rsidRDefault="000A05EA">
            <w:pPr>
              <w:pStyle w:val="TableParagraph"/>
              <w:ind w:right="1"/>
              <w:jc w:val="center"/>
              <w:rPr>
                <w:sz w:val="18"/>
              </w:rPr>
            </w:pPr>
            <w:r>
              <w:rPr>
                <w:w w:val="99"/>
                <w:sz w:val="18"/>
              </w:rPr>
              <w:t>2</w:t>
            </w:r>
          </w:p>
        </w:tc>
        <w:tc>
          <w:tcPr>
            <w:tcW w:w="480" w:type="dxa"/>
          </w:tcPr>
          <w:p w14:paraId="4AE6B97D" w14:textId="77777777" w:rsidR="001F5B07" w:rsidRDefault="000A05EA">
            <w:pPr>
              <w:pStyle w:val="TableParagraph"/>
              <w:ind w:right="1"/>
              <w:jc w:val="center"/>
              <w:rPr>
                <w:sz w:val="18"/>
              </w:rPr>
            </w:pPr>
            <w:r>
              <w:rPr>
                <w:w w:val="99"/>
                <w:sz w:val="18"/>
              </w:rPr>
              <w:t>9</w:t>
            </w:r>
          </w:p>
        </w:tc>
        <w:tc>
          <w:tcPr>
            <w:tcW w:w="480" w:type="dxa"/>
          </w:tcPr>
          <w:p w14:paraId="1066C695" w14:textId="77777777" w:rsidR="001F5B07" w:rsidRDefault="000A05EA">
            <w:pPr>
              <w:pStyle w:val="TableParagraph"/>
              <w:ind w:left="135"/>
              <w:rPr>
                <w:sz w:val="18"/>
              </w:rPr>
            </w:pPr>
            <w:r>
              <w:rPr>
                <w:sz w:val="18"/>
              </w:rPr>
              <w:t>16</w:t>
            </w:r>
          </w:p>
        </w:tc>
        <w:tc>
          <w:tcPr>
            <w:tcW w:w="484" w:type="dxa"/>
          </w:tcPr>
          <w:p w14:paraId="51DD0843" w14:textId="77777777" w:rsidR="001F5B07" w:rsidRDefault="000A05EA">
            <w:pPr>
              <w:pStyle w:val="TableParagraph"/>
              <w:ind w:left="136"/>
              <w:rPr>
                <w:sz w:val="18"/>
              </w:rPr>
            </w:pPr>
            <w:r>
              <w:rPr>
                <w:sz w:val="18"/>
              </w:rPr>
              <w:t>23</w:t>
            </w:r>
          </w:p>
        </w:tc>
        <w:tc>
          <w:tcPr>
            <w:tcW w:w="446" w:type="dxa"/>
          </w:tcPr>
          <w:p w14:paraId="2792CCC8" w14:textId="77777777" w:rsidR="001F5B07" w:rsidRDefault="000A05EA">
            <w:pPr>
              <w:pStyle w:val="TableParagraph"/>
              <w:ind w:left="118"/>
              <w:rPr>
                <w:sz w:val="18"/>
              </w:rPr>
            </w:pPr>
            <w:r>
              <w:rPr>
                <w:sz w:val="18"/>
              </w:rPr>
              <w:t>30</w:t>
            </w:r>
          </w:p>
        </w:tc>
        <w:tc>
          <w:tcPr>
            <w:tcW w:w="589" w:type="dxa"/>
          </w:tcPr>
          <w:p w14:paraId="45C6D159" w14:textId="77777777" w:rsidR="001F5B07" w:rsidRDefault="000A05EA">
            <w:pPr>
              <w:pStyle w:val="TableParagraph"/>
              <w:jc w:val="center"/>
              <w:rPr>
                <w:sz w:val="18"/>
              </w:rPr>
            </w:pPr>
            <w:r>
              <w:rPr>
                <w:w w:val="99"/>
                <w:sz w:val="18"/>
              </w:rPr>
              <w:t>6</w:t>
            </w:r>
          </w:p>
        </w:tc>
        <w:tc>
          <w:tcPr>
            <w:tcW w:w="545" w:type="dxa"/>
          </w:tcPr>
          <w:p w14:paraId="775A221D" w14:textId="77777777" w:rsidR="001F5B07" w:rsidRDefault="000A05EA">
            <w:pPr>
              <w:pStyle w:val="TableParagraph"/>
              <w:ind w:left="167"/>
              <w:rPr>
                <w:sz w:val="18"/>
              </w:rPr>
            </w:pPr>
            <w:r>
              <w:rPr>
                <w:sz w:val="18"/>
              </w:rPr>
              <w:t>13</w:t>
            </w:r>
          </w:p>
        </w:tc>
      </w:tr>
      <w:tr w:rsidR="001F5B07" w14:paraId="46617607" w14:textId="77777777">
        <w:trPr>
          <w:trHeight w:hRule="exact" w:val="638"/>
        </w:trPr>
        <w:tc>
          <w:tcPr>
            <w:tcW w:w="1225" w:type="dxa"/>
          </w:tcPr>
          <w:p w14:paraId="211A3D35" w14:textId="77777777" w:rsidR="001F5B07" w:rsidRDefault="000A05EA">
            <w:pPr>
              <w:pStyle w:val="TableParagraph"/>
              <w:spacing w:before="104"/>
              <w:ind w:left="313" w:right="208" w:hanging="86"/>
              <w:rPr>
                <w:sz w:val="18"/>
              </w:rPr>
            </w:pPr>
            <w:r>
              <w:rPr>
                <w:sz w:val="18"/>
              </w:rPr>
              <w:t>Literature Review</w:t>
            </w:r>
          </w:p>
        </w:tc>
        <w:tc>
          <w:tcPr>
            <w:tcW w:w="456" w:type="dxa"/>
          </w:tcPr>
          <w:p w14:paraId="06AADAD9" w14:textId="77777777" w:rsidR="001F5B07" w:rsidRDefault="001F5B07"/>
        </w:tc>
        <w:tc>
          <w:tcPr>
            <w:tcW w:w="456" w:type="dxa"/>
          </w:tcPr>
          <w:p w14:paraId="639A59F9" w14:textId="77777777" w:rsidR="001F5B07" w:rsidRDefault="001F5B07"/>
        </w:tc>
        <w:tc>
          <w:tcPr>
            <w:tcW w:w="456" w:type="dxa"/>
          </w:tcPr>
          <w:p w14:paraId="337A8691" w14:textId="77777777" w:rsidR="001F5B07" w:rsidRDefault="001F5B07"/>
        </w:tc>
        <w:tc>
          <w:tcPr>
            <w:tcW w:w="456" w:type="dxa"/>
          </w:tcPr>
          <w:p w14:paraId="7E892BBC" w14:textId="77777777" w:rsidR="001F5B07" w:rsidRDefault="001F5B07"/>
        </w:tc>
        <w:tc>
          <w:tcPr>
            <w:tcW w:w="456" w:type="dxa"/>
          </w:tcPr>
          <w:p w14:paraId="6F5FBAF0" w14:textId="77777777" w:rsidR="001F5B07" w:rsidRDefault="001F5B07"/>
        </w:tc>
        <w:tc>
          <w:tcPr>
            <w:tcW w:w="480" w:type="dxa"/>
          </w:tcPr>
          <w:p w14:paraId="46937BE7" w14:textId="77777777" w:rsidR="001F5B07" w:rsidRDefault="001F5B07"/>
        </w:tc>
        <w:tc>
          <w:tcPr>
            <w:tcW w:w="480" w:type="dxa"/>
          </w:tcPr>
          <w:p w14:paraId="23052A5B" w14:textId="77777777" w:rsidR="001F5B07" w:rsidRDefault="001F5B07"/>
        </w:tc>
        <w:tc>
          <w:tcPr>
            <w:tcW w:w="416" w:type="dxa"/>
          </w:tcPr>
          <w:p w14:paraId="1836ABF2" w14:textId="77777777" w:rsidR="001F5B07" w:rsidRDefault="001F5B07"/>
        </w:tc>
        <w:tc>
          <w:tcPr>
            <w:tcW w:w="418" w:type="dxa"/>
          </w:tcPr>
          <w:p w14:paraId="046F0FF3" w14:textId="77777777" w:rsidR="001F5B07" w:rsidRDefault="001F5B07"/>
        </w:tc>
        <w:tc>
          <w:tcPr>
            <w:tcW w:w="416" w:type="dxa"/>
          </w:tcPr>
          <w:p w14:paraId="33C39720" w14:textId="77777777" w:rsidR="001F5B07" w:rsidRDefault="001F5B07"/>
        </w:tc>
        <w:tc>
          <w:tcPr>
            <w:tcW w:w="480" w:type="dxa"/>
          </w:tcPr>
          <w:p w14:paraId="718962CA" w14:textId="77777777" w:rsidR="001F5B07" w:rsidRDefault="001F5B07"/>
        </w:tc>
        <w:tc>
          <w:tcPr>
            <w:tcW w:w="480" w:type="dxa"/>
          </w:tcPr>
          <w:p w14:paraId="3E9FDA1E" w14:textId="77777777" w:rsidR="001F5B07" w:rsidRDefault="001F5B07"/>
        </w:tc>
        <w:tc>
          <w:tcPr>
            <w:tcW w:w="481" w:type="dxa"/>
          </w:tcPr>
          <w:p w14:paraId="157F78C2" w14:textId="77777777" w:rsidR="001F5B07" w:rsidRDefault="001F5B07"/>
        </w:tc>
        <w:tc>
          <w:tcPr>
            <w:tcW w:w="480" w:type="dxa"/>
          </w:tcPr>
          <w:p w14:paraId="5648655F" w14:textId="77777777" w:rsidR="001F5B07" w:rsidRDefault="001F5B07"/>
        </w:tc>
        <w:tc>
          <w:tcPr>
            <w:tcW w:w="480" w:type="dxa"/>
          </w:tcPr>
          <w:p w14:paraId="3265BE83" w14:textId="77777777" w:rsidR="001F5B07" w:rsidRDefault="001F5B07"/>
        </w:tc>
        <w:tc>
          <w:tcPr>
            <w:tcW w:w="480" w:type="dxa"/>
          </w:tcPr>
          <w:p w14:paraId="044A68A2" w14:textId="77777777" w:rsidR="001F5B07" w:rsidRDefault="001F5B07"/>
        </w:tc>
        <w:tc>
          <w:tcPr>
            <w:tcW w:w="481" w:type="dxa"/>
          </w:tcPr>
          <w:p w14:paraId="359CB571" w14:textId="77777777" w:rsidR="001F5B07" w:rsidRDefault="001F5B07"/>
        </w:tc>
        <w:tc>
          <w:tcPr>
            <w:tcW w:w="480" w:type="dxa"/>
          </w:tcPr>
          <w:p w14:paraId="57E9786E" w14:textId="77777777" w:rsidR="001F5B07" w:rsidRDefault="001F5B07"/>
        </w:tc>
        <w:tc>
          <w:tcPr>
            <w:tcW w:w="480" w:type="dxa"/>
          </w:tcPr>
          <w:p w14:paraId="32BDFFA2" w14:textId="77777777" w:rsidR="001F5B07" w:rsidRDefault="001F5B07"/>
        </w:tc>
        <w:tc>
          <w:tcPr>
            <w:tcW w:w="480" w:type="dxa"/>
          </w:tcPr>
          <w:p w14:paraId="3E04C45E" w14:textId="77777777" w:rsidR="001F5B07" w:rsidRDefault="001F5B07"/>
        </w:tc>
        <w:tc>
          <w:tcPr>
            <w:tcW w:w="484" w:type="dxa"/>
          </w:tcPr>
          <w:p w14:paraId="57EE0DCF" w14:textId="77777777" w:rsidR="001F5B07" w:rsidRDefault="001F5B07"/>
        </w:tc>
        <w:tc>
          <w:tcPr>
            <w:tcW w:w="446" w:type="dxa"/>
          </w:tcPr>
          <w:p w14:paraId="629498DC" w14:textId="77777777" w:rsidR="001F5B07" w:rsidRDefault="001F5B07"/>
        </w:tc>
        <w:tc>
          <w:tcPr>
            <w:tcW w:w="589" w:type="dxa"/>
          </w:tcPr>
          <w:p w14:paraId="79B927E1" w14:textId="77777777" w:rsidR="001F5B07" w:rsidRDefault="001F5B07"/>
        </w:tc>
        <w:tc>
          <w:tcPr>
            <w:tcW w:w="545" w:type="dxa"/>
          </w:tcPr>
          <w:p w14:paraId="4F3BDB86" w14:textId="77777777" w:rsidR="001F5B07" w:rsidRDefault="001F5B07"/>
        </w:tc>
      </w:tr>
      <w:tr w:rsidR="001F5B07" w14:paraId="625EAC5D" w14:textId="77777777">
        <w:trPr>
          <w:trHeight w:hRule="exact" w:val="638"/>
        </w:trPr>
        <w:tc>
          <w:tcPr>
            <w:tcW w:w="1225" w:type="dxa"/>
          </w:tcPr>
          <w:p w14:paraId="23F9B5EC" w14:textId="77777777" w:rsidR="001F5B07" w:rsidRDefault="000A05EA">
            <w:pPr>
              <w:pStyle w:val="TableParagraph"/>
              <w:spacing w:before="1"/>
              <w:ind w:left="253" w:right="251" w:firstLine="74"/>
              <w:jc w:val="both"/>
              <w:rPr>
                <w:sz w:val="18"/>
              </w:rPr>
            </w:pPr>
            <w:r>
              <w:rPr>
                <w:sz w:val="18"/>
              </w:rPr>
              <w:t>Submit Project Proposal</w:t>
            </w:r>
          </w:p>
        </w:tc>
        <w:tc>
          <w:tcPr>
            <w:tcW w:w="456" w:type="dxa"/>
          </w:tcPr>
          <w:p w14:paraId="3DC4EE3C" w14:textId="77777777" w:rsidR="001F5B07" w:rsidRDefault="001F5B07"/>
        </w:tc>
        <w:tc>
          <w:tcPr>
            <w:tcW w:w="456" w:type="dxa"/>
          </w:tcPr>
          <w:p w14:paraId="46F442EC" w14:textId="77777777" w:rsidR="001F5B07" w:rsidRDefault="001F5B07"/>
        </w:tc>
        <w:tc>
          <w:tcPr>
            <w:tcW w:w="456" w:type="dxa"/>
          </w:tcPr>
          <w:p w14:paraId="23B82A62" w14:textId="77777777" w:rsidR="001F5B07" w:rsidRDefault="001F5B07"/>
        </w:tc>
        <w:tc>
          <w:tcPr>
            <w:tcW w:w="456" w:type="dxa"/>
          </w:tcPr>
          <w:p w14:paraId="6B3EB27D" w14:textId="77777777" w:rsidR="001F5B07" w:rsidRDefault="001F5B07"/>
        </w:tc>
        <w:tc>
          <w:tcPr>
            <w:tcW w:w="456" w:type="dxa"/>
          </w:tcPr>
          <w:p w14:paraId="5F524AC9" w14:textId="77777777" w:rsidR="001F5B07" w:rsidRDefault="001F5B07"/>
        </w:tc>
        <w:tc>
          <w:tcPr>
            <w:tcW w:w="480" w:type="dxa"/>
          </w:tcPr>
          <w:p w14:paraId="730BF814" w14:textId="77777777" w:rsidR="001F5B07" w:rsidRDefault="001F5B07"/>
        </w:tc>
        <w:tc>
          <w:tcPr>
            <w:tcW w:w="480" w:type="dxa"/>
          </w:tcPr>
          <w:p w14:paraId="2D390928" w14:textId="77777777" w:rsidR="001F5B07" w:rsidRDefault="001F5B07"/>
        </w:tc>
        <w:tc>
          <w:tcPr>
            <w:tcW w:w="416" w:type="dxa"/>
          </w:tcPr>
          <w:p w14:paraId="002120F9" w14:textId="77777777" w:rsidR="001F5B07" w:rsidRDefault="001F5B07"/>
        </w:tc>
        <w:tc>
          <w:tcPr>
            <w:tcW w:w="418" w:type="dxa"/>
          </w:tcPr>
          <w:p w14:paraId="11FA90FB" w14:textId="77777777" w:rsidR="001F5B07" w:rsidRDefault="001F5B07"/>
        </w:tc>
        <w:tc>
          <w:tcPr>
            <w:tcW w:w="416" w:type="dxa"/>
          </w:tcPr>
          <w:p w14:paraId="54989A37" w14:textId="77777777" w:rsidR="001F5B07" w:rsidRDefault="001F5B07"/>
        </w:tc>
        <w:tc>
          <w:tcPr>
            <w:tcW w:w="480" w:type="dxa"/>
          </w:tcPr>
          <w:p w14:paraId="7D611E8D" w14:textId="77777777" w:rsidR="001F5B07" w:rsidRDefault="001F5B07"/>
        </w:tc>
        <w:tc>
          <w:tcPr>
            <w:tcW w:w="480" w:type="dxa"/>
          </w:tcPr>
          <w:p w14:paraId="11DE1331" w14:textId="77777777" w:rsidR="001F5B07" w:rsidRDefault="001F5B07"/>
        </w:tc>
        <w:tc>
          <w:tcPr>
            <w:tcW w:w="481" w:type="dxa"/>
          </w:tcPr>
          <w:p w14:paraId="0F92FDF8" w14:textId="77777777" w:rsidR="001F5B07" w:rsidRDefault="001F5B07"/>
        </w:tc>
        <w:tc>
          <w:tcPr>
            <w:tcW w:w="480" w:type="dxa"/>
          </w:tcPr>
          <w:p w14:paraId="1525CB4B" w14:textId="77777777" w:rsidR="001F5B07" w:rsidRDefault="001F5B07"/>
        </w:tc>
        <w:tc>
          <w:tcPr>
            <w:tcW w:w="480" w:type="dxa"/>
          </w:tcPr>
          <w:p w14:paraId="65F4B890" w14:textId="77777777" w:rsidR="001F5B07" w:rsidRDefault="001F5B07"/>
        </w:tc>
        <w:tc>
          <w:tcPr>
            <w:tcW w:w="480" w:type="dxa"/>
          </w:tcPr>
          <w:p w14:paraId="78594E9E" w14:textId="77777777" w:rsidR="001F5B07" w:rsidRDefault="001F5B07"/>
        </w:tc>
        <w:tc>
          <w:tcPr>
            <w:tcW w:w="481" w:type="dxa"/>
          </w:tcPr>
          <w:p w14:paraId="1529E93B" w14:textId="77777777" w:rsidR="001F5B07" w:rsidRDefault="001F5B07"/>
        </w:tc>
        <w:tc>
          <w:tcPr>
            <w:tcW w:w="480" w:type="dxa"/>
          </w:tcPr>
          <w:p w14:paraId="03E52A38" w14:textId="77777777" w:rsidR="001F5B07" w:rsidRDefault="001F5B07"/>
        </w:tc>
        <w:tc>
          <w:tcPr>
            <w:tcW w:w="480" w:type="dxa"/>
          </w:tcPr>
          <w:p w14:paraId="09915926" w14:textId="77777777" w:rsidR="001F5B07" w:rsidRDefault="001F5B07"/>
        </w:tc>
        <w:tc>
          <w:tcPr>
            <w:tcW w:w="480" w:type="dxa"/>
          </w:tcPr>
          <w:p w14:paraId="2815C020" w14:textId="77777777" w:rsidR="001F5B07" w:rsidRDefault="001F5B07"/>
        </w:tc>
        <w:tc>
          <w:tcPr>
            <w:tcW w:w="484" w:type="dxa"/>
          </w:tcPr>
          <w:p w14:paraId="657863BD" w14:textId="77777777" w:rsidR="001F5B07" w:rsidRDefault="001F5B07"/>
        </w:tc>
        <w:tc>
          <w:tcPr>
            <w:tcW w:w="446" w:type="dxa"/>
          </w:tcPr>
          <w:p w14:paraId="56973AE0" w14:textId="77777777" w:rsidR="001F5B07" w:rsidRDefault="001F5B07"/>
        </w:tc>
        <w:tc>
          <w:tcPr>
            <w:tcW w:w="589" w:type="dxa"/>
          </w:tcPr>
          <w:p w14:paraId="02BA8ED4" w14:textId="77777777" w:rsidR="001F5B07" w:rsidRDefault="001F5B07"/>
        </w:tc>
        <w:tc>
          <w:tcPr>
            <w:tcW w:w="545" w:type="dxa"/>
          </w:tcPr>
          <w:p w14:paraId="4A05FA43" w14:textId="77777777" w:rsidR="001F5B07" w:rsidRDefault="001F5B07"/>
        </w:tc>
      </w:tr>
      <w:tr w:rsidR="001F5B07" w14:paraId="35466F86" w14:textId="77777777">
        <w:trPr>
          <w:trHeight w:hRule="exact" w:val="637"/>
        </w:trPr>
        <w:tc>
          <w:tcPr>
            <w:tcW w:w="1225" w:type="dxa"/>
          </w:tcPr>
          <w:p w14:paraId="65075C53" w14:textId="77777777" w:rsidR="001F5B07" w:rsidRDefault="001F5B07">
            <w:pPr>
              <w:pStyle w:val="TableParagraph"/>
              <w:spacing w:before="1"/>
              <w:rPr>
                <w:rFonts w:ascii="Calibri"/>
                <w:sz w:val="17"/>
              </w:rPr>
            </w:pPr>
          </w:p>
          <w:p w14:paraId="666DD59C" w14:textId="77777777" w:rsidR="001F5B07" w:rsidRDefault="000A05EA">
            <w:pPr>
              <w:pStyle w:val="TableParagraph"/>
              <w:spacing w:before="0"/>
              <w:ind w:left="102" w:right="102"/>
              <w:jc w:val="center"/>
              <w:rPr>
                <w:sz w:val="18"/>
              </w:rPr>
            </w:pPr>
            <w:r>
              <w:rPr>
                <w:sz w:val="18"/>
              </w:rPr>
              <w:t>Holiday</w:t>
            </w:r>
          </w:p>
        </w:tc>
        <w:tc>
          <w:tcPr>
            <w:tcW w:w="456" w:type="dxa"/>
          </w:tcPr>
          <w:p w14:paraId="1EA8AC5F" w14:textId="77777777" w:rsidR="001F5B07" w:rsidRDefault="001F5B07"/>
        </w:tc>
        <w:tc>
          <w:tcPr>
            <w:tcW w:w="456" w:type="dxa"/>
          </w:tcPr>
          <w:p w14:paraId="47E9852A" w14:textId="77777777" w:rsidR="001F5B07" w:rsidRDefault="001F5B07"/>
        </w:tc>
        <w:tc>
          <w:tcPr>
            <w:tcW w:w="456" w:type="dxa"/>
          </w:tcPr>
          <w:p w14:paraId="64A66F20" w14:textId="77777777" w:rsidR="001F5B07" w:rsidRDefault="001F5B07"/>
        </w:tc>
        <w:tc>
          <w:tcPr>
            <w:tcW w:w="456" w:type="dxa"/>
          </w:tcPr>
          <w:p w14:paraId="60021AC8" w14:textId="77777777" w:rsidR="001F5B07" w:rsidRDefault="001F5B07"/>
        </w:tc>
        <w:tc>
          <w:tcPr>
            <w:tcW w:w="456" w:type="dxa"/>
          </w:tcPr>
          <w:p w14:paraId="4BCA43AC" w14:textId="77777777" w:rsidR="001F5B07" w:rsidRDefault="001F5B07"/>
        </w:tc>
        <w:tc>
          <w:tcPr>
            <w:tcW w:w="480" w:type="dxa"/>
          </w:tcPr>
          <w:p w14:paraId="2992EF3C" w14:textId="77777777" w:rsidR="001F5B07" w:rsidRDefault="001F5B07"/>
        </w:tc>
        <w:tc>
          <w:tcPr>
            <w:tcW w:w="480" w:type="dxa"/>
          </w:tcPr>
          <w:p w14:paraId="04F08ACC" w14:textId="77777777" w:rsidR="001F5B07" w:rsidRDefault="001F5B07"/>
        </w:tc>
        <w:tc>
          <w:tcPr>
            <w:tcW w:w="416" w:type="dxa"/>
          </w:tcPr>
          <w:p w14:paraId="1B0957DA" w14:textId="77777777" w:rsidR="001F5B07" w:rsidRDefault="001F5B07"/>
        </w:tc>
        <w:tc>
          <w:tcPr>
            <w:tcW w:w="418" w:type="dxa"/>
          </w:tcPr>
          <w:p w14:paraId="507C1252" w14:textId="77777777" w:rsidR="001F5B07" w:rsidRDefault="001F5B07"/>
        </w:tc>
        <w:tc>
          <w:tcPr>
            <w:tcW w:w="416" w:type="dxa"/>
          </w:tcPr>
          <w:p w14:paraId="42D7C29C" w14:textId="77777777" w:rsidR="001F5B07" w:rsidRDefault="001F5B07"/>
        </w:tc>
        <w:tc>
          <w:tcPr>
            <w:tcW w:w="480" w:type="dxa"/>
          </w:tcPr>
          <w:p w14:paraId="6A51A6F2" w14:textId="77777777" w:rsidR="001F5B07" w:rsidRDefault="001F5B07"/>
        </w:tc>
        <w:tc>
          <w:tcPr>
            <w:tcW w:w="480" w:type="dxa"/>
          </w:tcPr>
          <w:p w14:paraId="597E8EAB" w14:textId="77777777" w:rsidR="001F5B07" w:rsidRDefault="001F5B07"/>
        </w:tc>
        <w:tc>
          <w:tcPr>
            <w:tcW w:w="481" w:type="dxa"/>
          </w:tcPr>
          <w:p w14:paraId="67342084" w14:textId="77777777" w:rsidR="001F5B07" w:rsidRDefault="001F5B07"/>
        </w:tc>
        <w:tc>
          <w:tcPr>
            <w:tcW w:w="480" w:type="dxa"/>
          </w:tcPr>
          <w:p w14:paraId="55D06575" w14:textId="77777777" w:rsidR="001F5B07" w:rsidRDefault="001F5B07"/>
        </w:tc>
        <w:tc>
          <w:tcPr>
            <w:tcW w:w="480" w:type="dxa"/>
          </w:tcPr>
          <w:p w14:paraId="36D11CDC" w14:textId="77777777" w:rsidR="001F5B07" w:rsidRDefault="001F5B07"/>
        </w:tc>
        <w:tc>
          <w:tcPr>
            <w:tcW w:w="480" w:type="dxa"/>
          </w:tcPr>
          <w:p w14:paraId="0F4CF838" w14:textId="77777777" w:rsidR="001F5B07" w:rsidRDefault="001F5B07"/>
        </w:tc>
        <w:tc>
          <w:tcPr>
            <w:tcW w:w="481" w:type="dxa"/>
          </w:tcPr>
          <w:p w14:paraId="16DB3D16" w14:textId="77777777" w:rsidR="001F5B07" w:rsidRDefault="001F5B07"/>
        </w:tc>
        <w:tc>
          <w:tcPr>
            <w:tcW w:w="480" w:type="dxa"/>
          </w:tcPr>
          <w:p w14:paraId="73C32611" w14:textId="77777777" w:rsidR="001F5B07" w:rsidRDefault="001F5B07"/>
        </w:tc>
        <w:tc>
          <w:tcPr>
            <w:tcW w:w="480" w:type="dxa"/>
          </w:tcPr>
          <w:p w14:paraId="20985968" w14:textId="77777777" w:rsidR="001F5B07" w:rsidRDefault="001F5B07"/>
        </w:tc>
        <w:tc>
          <w:tcPr>
            <w:tcW w:w="480" w:type="dxa"/>
          </w:tcPr>
          <w:p w14:paraId="0FAAAEBF" w14:textId="77777777" w:rsidR="001F5B07" w:rsidRDefault="001F5B07"/>
        </w:tc>
        <w:tc>
          <w:tcPr>
            <w:tcW w:w="484" w:type="dxa"/>
          </w:tcPr>
          <w:p w14:paraId="21FE7F33" w14:textId="77777777" w:rsidR="001F5B07" w:rsidRDefault="001F5B07"/>
        </w:tc>
        <w:tc>
          <w:tcPr>
            <w:tcW w:w="446" w:type="dxa"/>
          </w:tcPr>
          <w:p w14:paraId="3B6288A4" w14:textId="77777777" w:rsidR="001F5B07" w:rsidRDefault="001F5B07"/>
        </w:tc>
        <w:tc>
          <w:tcPr>
            <w:tcW w:w="589" w:type="dxa"/>
          </w:tcPr>
          <w:p w14:paraId="4E20CF7F" w14:textId="77777777" w:rsidR="001F5B07" w:rsidRDefault="001F5B07"/>
        </w:tc>
        <w:tc>
          <w:tcPr>
            <w:tcW w:w="545" w:type="dxa"/>
          </w:tcPr>
          <w:p w14:paraId="5BC525C2" w14:textId="77777777" w:rsidR="001F5B07" w:rsidRDefault="001F5B07"/>
        </w:tc>
      </w:tr>
      <w:tr w:rsidR="001F5B07" w14:paraId="437DD9EB" w14:textId="77777777">
        <w:trPr>
          <w:trHeight w:hRule="exact" w:val="638"/>
        </w:trPr>
        <w:tc>
          <w:tcPr>
            <w:tcW w:w="1225" w:type="dxa"/>
          </w:tcPr>
          <w:p w14:paraId="6A313EAB" w14:textId="77777777" w:rsidR="001F5B07" w:rsidRDefault="001F5B07">
            <w:pPr>
              <w:pStyle w:val="TableParagraph"/>
              <w:spacing w:before="1"/>
              <w:rPr>
                <w:rFonts w:ascii="Calibri"/>
                <w:sz w:val="17"/>
              </w:rPr>
            </w:pPr>
          </w:p>
          <w:p w14:paraId="7E3E21E6" w14:textId="77777777" w:rsidR="001F5B07" w:rsidRDefault="000A05EA">
            <w:pPr>
              <w:pStyle w:val="TableParagraph"/>
              <w:spacing w:before="0"/>
              <w:ind w:left="102" w:right="102"/>
              <w:jc w:val="center"/>
              <w:rPr>
                <w:sz w:val="18"/>
              </w:rPr>
            </w:pPr>
            <w:r>
              <w:rPr>
                <w:sz w:val="18"/>
              </w:rPr>
              <w:t>Exams</w:t>
            </w:r>
          </w:p>
        </w:tc>
        <w:tc>
          <w:tcPr>
            <w:tcW w:w="456" w:type="dxa"/>
          </w:tcPr>
          <w:p w14:paraId="30A77775" w14:textId="77777777" w:rsidR="001F5B07" w:rsidRDefault="001F5B07"/>
        </w:tc>
        <w:tc>
          <w:tcPr>
            <w:tcW w:w="456" w:type="dxa"/>
          </w:tcPr>
          <w:p w14:paraId="239E8392" w14:textId="77777777" w:rsidR="001F5B07" w:rsidRDefault="001F5B07"/>
        </w:tc>
        <w:tc>
          <w:tcPr>
            <w:tcW w:w="456" w:type="dxa"/>
          </w:tcPr>
          <w:p w14:paraId="132A3722" w14:textId="77777777" w:rsidR="001F5B07" w:rsidRDefault="001F5B07"/>
        </w:tc>
        <w:tc>
          <w:tcPr>
            <w:tcW w:w="456" w:type="dxa"/>
          </w:tcPr>
          <w:p w14:paraId="5591C494" w14:textId="77777777" w:rsidR="001F5B07" w:rsidRDefault="001F5B07"/>
        </w:tc>
        <w:tc>
          <w:tcPr>
            <w:tcW w:w="456" w:type="dxa"/>
          </w:tcPr>
          <w:p w14:paraId="542F4891" w14:textId="77777777" w:rsidR="001F5B07" w:rsidRDefault="001F5B07"/>
        </w:tc>
        <w:tc>
          <w:tcPr>
            <w:tcW w:w="480" w:type="dxa"/>
          </w:tcPr>
          <w:p w14:paraId="34FFC49C" w14:textId="77777777" w:rsidR="001F5B07" w:rsidRDefault="001F5B07"/>
        </w:tc>
        <w:tc>
          <w:tcPr>
            <w:tcW w:w="480" w:type="dxa"/>
          </w:tcPr>
          <w:p w14:paraId="532657A8" w14:textId="77777777" w:rsidR="001F5B07" w:rsidRDefault="001F5B07"/>
        </w:tc>
        <w:tc>
          <w:tcPr>
            <w:tcW w:w="416" w:type="dxa"/>
          </w:tcPr>
          <w:p w14:paraId="00FDB0B6" w14:textId="77777777" w:rsidR="001F5B07" w:rsidRDefault="001F5B07"/>
        </w:tc>
        <w:tc>
          <w:tcPr>
            <w:tcW w:w="418" w:type="dxa"/>
          </w:tcPr>
          <w:p w14:paraId="1F70E014" w14:textId="77777777" w:rsidR="001F5B07" w:rsidRDefault="001F5B07"/>
        </w:tc>
        <w:tc>
          <w:tcPr>
            <w:tcW w:w="416" w:type="dxa"/>
          </w:tcPr>
          <w:p w14:paraId="48512E51" w14:textId="77777777" w:rsidR="001F5B07" w:rsidRDefault="001F5B07"/>
        </w:tc>
        <w:tc>
          <w:tcPr>
            <w:tcW w:w="480" w:type="dxa"/>
          </w:tcPr>
          <w:p w14:paraId="6D6AB09A" w14:textId="77777777" w:rsidR="001F5B07" w:rsidRDefault="001F5B07"/>
        </w:tc>
        <w:tc>
          <w:tcPr>
            <w:tcW w:w="480" w:type="dxa"/>
          </w:tcPr>
          <w:p w14:paraId="3105FDEE" w14:textId="77777777" w:rsidR="001F5B07" w:rsidRDefault="001F5B07"/>
        </w:tc>
        <w:tc>
          <w:tcPr>
            <w:tcW w:w="481" w:type="dxa"/>
          </w:tcPr>
          <w:p w14:paraId="4DEB6236" w14:textId="77777777" w:rsidR="001F5B07" w:rsidRDefault="001F5B07"/>
        </w:tc>
        <w:tc>
          <w:tcPr>
            <w:tcW w:w="480" w:type="dxa"/>
          </w:tcPr>
          <w:p w14:paraId="5A2387C9" w14:textId="77777777" w:rsidR="001F5B07" w:rsidRDefault="001F5B07"/>
        </w:tc>
        <w:tc>
          <w:tcPr>
            <w:tcW w:w="480" w:type="dxa"/>
          </w:tcPr>
          <w:p w14:paraId="201CFF84" w14:textId="77777777" w:rsidR="001F5B07" w:rsidRDefault="001F5B07"/>
        </w:tc>
        <w:tc>
          <w:tcPr>
            <w:tcW w:w="480" w:type="dxa"/>
          </w:tcPr>
          <w:p w14:paraId="13832819" w14:textId="77777777" w:rsidR="001F5B07" w:rsidRDefault="001F5B07"/>
        </w:tc>
        <w:tc>
          <w:tcPr>
            <w:tcW w:w="481" w:type="dxa"/>
          </w:tcPr>
          <w:p w14:paraId="29A602F4" w14:textId="77777777" w:rsidR="001F5B07" w:rsidRDefault="001F5B07"/>
        </w:tc>
        <w:tc>
          <w:tcPr>
            <w:tcW w:w="480" w:type="dxa"/>
          </w:tcPr>
          <w:p w14:paraId="60CC0323" w14:textId="77777777" w:rsidR="001F5B07" w:rsidRDefault="001F5B07"/>
        </w:tc>
        <w:tc>
          <w:tcPr>
            <w:tcW w:w="480" w:type="dxa"/>
          </w:tcPr>
          <w:p w14:paraId="0DA12DE9" w14:textId="77777777" w:rsidR="001F5B07" w:rsidRDefault="001F5B07"/>
        </w:tc>
        <w:tc>
          <w:tcPr>
            <w:tcW w:w="480" w:type="dxa"/>
          </w:tcPr>
          <w:p w14:paraId="7B6AEF1A" w14:textId="77777777" w:rsidR="001F5B07" w:rsidRDefault="001F5B07"/>
        </w:tc>
        <w:tc>
          <w:tcPr>
            <w:tcW w:w="484" w:type="dxa"/>
          </w:tcPr>
          <w:p w14:paraId="50639FC5" w14:textId="77777777" w:rsidR="001F5B07" w:rsidRDefault="001F5B07"/>
        </w:tc>
        <w:tc>
          <w:tcPr>
            <w:tcW w:w="446" w:type="dxa"/>
          </w:tcPr>
          <w:p w14:paraId="18F534FE" w14:textId="77777777" w:rsidR="001F5B07" w:rsidRDefault="001F5B07"/>
        </w:tc>
        <w:tc>
          <w:tcPr>
            <w:tcW w:w="589" w:type="dxa"/>
          </w:tcPr>
          <w:p w14:paraId="11FEA162" w14:textId="77777777" w:rsidR="001F5B07" w:rsidRDefault="001F5B07"/>
        </w:tc>
        <w:tc>
          <w:tcPr>
            <w:tcW w:w="545" w:type="dxa"/>
          </w:tcPr>
          <w:p w14:paraId="7081ED69" w14:textId="77777777" w:rsidR="001F5B07" w:rsidRDefault="001F5B07"/>
        </w:tc>
      </w:tr>
      <w:tr w:rsidR="001F5B07" w14:paraId="1A01191C" w14:textId="77777777">
        <w:trPr>
          <w:trHeight w:hRule="exact" w:val="638"/>
        </w:trPr>
        <w:tc>
          <w:tcPr>
            <w:tcW w:w="1225" w:type="dxa"/>
          </w:tcPr>
          <w:p w14:paraId="4E1DE11D" w14:textId="77777777" w:rsidR="001F5B07" w:rsidRDefault="000A05EA">
            <w:pPr>
              <w:pStyle w:val="TableParagraph"/>
              <w:spacing w:before="104"/>
              <w:ind w:left="278" w:right="257" w:firstLine="139"/>
              <w:rPr>
                <w:sz w:val="18"/>
              </w:rPr>
            </w:pPr>
            <w:r>
              <w:rPr>
                <w:sz w:val="18"/>
              </w:rPr>
              <w:t>Data collation</w:t>
            </w:r>
          </w:p>
        </w:tc>
        <w:tc>
          <w:tcPr>
            <w:tcW w:w="456" w:type="dxa"/>
          </w:tcPr>
          <w:p w14:paraId="6B520015" w14:textId="77777777" w:rsidR="001F5B07" w:rsidRDefault="001F5B07"/>
        </w:tc>
        <w:tc>
          <w:tcPr>
            <w:tcW w:w="456" w:type="dxa"/>
          </w:tcPr>
          <w:p w14:paraId="43DA0AB5" w14:textId="77777777" w:rsidR="001F5B07" w:rsidRDefault="001F5B07"/>
        </w:tc>
        <w:tc>
          <w:tcPr>
            <w:tcW w:w="456" w:type="dxa"/>
          </w:tcPr>
          <w:p w14:paraId="1ED99CF2" w14:textId="77777777" w:rsidR="001F5B07" w:rsidRDefault="001F5B07"/>
        </w:tc>
        <w:tc>
          <w:tcPr>
            <w:tcW w:w="456" w:type="dxa"/>
          </w:tcPr>
          <w:p w14:paraId="1D66A591" w14:textId="77777777" w:rsidR="001F5B07" w:rsidRDefault="001F5B07"/>
        </w:tc>
        <w:tc>
          <w:tcPr>
            <w:tcW w:w="456" w:type="dxa"/>
          </w:tcPr>
          <w:p w14:paraId="05EA6141" w14:textId="77777777" w:rsidR="001F5B07" w:rsidRDefault="001F5B07"/>
        </w:tc>
        <w:tc>
          <w:tcPr>
            <w:tcW w:w="480" w:type="dxa"/>
          </w:tcPr>
          <w:p w14:paraId="0BA1A939" w14:textId="77777777" w:rsidR="001F5B07" w:rsidRDefault="001F5B07"/>
        </w:tc>
        <w:tc>
          <w:tcPr>
            <w:tcW w:w="480" w:type="dxa"/>
          </w:tcPr>
          <w:p w14:paraId="53E5A26F" w14:textId="77777777" w:rsidR="001F5B07" w:rsidRDefault="001F5B07"/>
        </w:tc>
        <w:tc>
          <w:tcPr>
            <w:tcW w:w="416" w:type="dxa"/>
          </w:tcPr>
          <w:p w14:paraId="2B95550A" w14:textId="77777777" w:rsidR="001F5B07" w:rsidRDefault="001F5B07"/>
        </w:tc>
        <w:tc>
          <w:tcPr>
            <w:tcW w:w="418" w:type="dxa"/>
          </w:tcPr>
          <w:p w14:paraId="1AEC3CDF" w14:textId="77777777" w:rsidR="001F5B07" w:rsidRDefault="001F5B07"/>
        </w:tc>
        <w:tc>
          <w:tcPr>
            <w:tcW w:w="416" w:type="dxa"/>
          </w:tcPr>
          <w:p w14:paraId="73E8017D" w14:textId="77777777" w:rsidR="001F5B07" w:rsidRDefault="001F5B07"/>
        </w:tc>
        <w:tc>
          <w:tcPr>
            <w:tcW w:w="480" w:type="dxa"/>
          </w:tcPr>
          <w:p w14:paraId="268E0761" w14:textId="77777777" w:rsidR="001F5B07" w:rsidRDefault="001F5B07"/>
        </w:tc>
        <w:tc>
          <w:tcPr>
            <w:tcW w:w="480" w:type="dxa"/>
          </w:tcPr>
          <w:p w14:paraId="31BDEE87" w14:textId="77777777" w:rsidR="001F5B07" w:rsidRDefault="001F5B07"/>
        </w:tc>
        <w:tc>
          <w:tcPr>
            <w:tcW w:w="481" w:type="dxa"/>
          </w:tcPr>
          <w:p w14:paraId="5E748629" w14:textId="77777777" w:rsidR="001F5B07" w:rsidRDefault="001F5B07"/>
        </w:tc>
        <w:tc>
          <w:tcPr>
            <w:tcW w:w="480" w:type="dxa"/>
          </w:tcPr>
          <w:p w14:paraId="374BB9EC" w14:textId="77777777" w:rsidR="001F5B07" w:rsidRDefault="001F5B07"/>
        </w:tc>
        <w:tc>
          <w:tcPr>
            <w:tcW w:w="480" w:type="dxa"/>
          </w:tcPr>
          <w:p w14:paraId="6F286334" w14:textId="77777777" w:rsidR="001F5B07" w:rsidRDefault="001F5B07"/>
        </w:tc>
        <w:tc>
          <w:tcPr>
            <w:tcW w:w="480" w:type="dxa"/>
          </w:tcPr>
          <w:p w14:paraId="7B72C53D" w14:textId="77777777" w:rsidR="001F5B07" w:rsidRDefault="001F5B07"/>
        </w:tc>
        <w:tc>
          <w:tcPr>
            <w:tcW w:w="481" w:type="dxa"/>
          </w:tcPr>
          <w:p w14:paraId="7D059F08" w14:textId="77777777" w:rsidR="001F5B07" w:rsidRDefault="001F5B07"/>
        </w:tc>
        <w:tc>
          <w:tcPr>
            <w:tcW w:w="480" w:type="dxa"/>
          </w:tcPr>
          <w:p w14:paraId="5BB2E912" w14:textId="77777777" w:rsidR="001F5B07" w:rsidRDefault="001F5B07"/>
        </w:tc>
        <w:tc>
          <w:tcPr>
            <w:tcW w:w="480" w:type="dxa"/>
          </w:tcPr>
          <w:p w14:paraId="79A4386B" w14:textId="77777777" w:rsidR="001F5B07" w:rsidRDefault="001F5B07"/>
        </w:tc>
        <w:tc>
          <w:tcPr>
            <w:tcW w:w="480" w:type="dxa"/>
          </w:tcPr>
          <w:p w14:paraId="2C155BC1" w14:textId="77777777" w:rsidR="001F5B07" w:rsidRDefault="001F5B07"/>
        </w:tc>
        <w:tc>
          <w:tcPr>
            <w:tcW w:w="484" w:type="dxa"/>
          </w:tcPr>
          <w:p w14:paraId="4A6DD0C2" w14:textId="77777777" w:rsidR="001F5B07" w:rsidRDefault="001F5B07"/>
        </w:tc>
        <w:tc>
          <w:tcPr>
            <w:tcW w:w="446" w:type="dxa"/>
          </w:tcPr>
          <w:p w14:paraId="71EE6D8D" w14:textId="77777777" w:rsidR="001F5B07" w:rsidRDefault="001F5B07"/>
        </w:tc>
        <w:tc>
          <w:tcPr>
            <w:tcW w:w="589" w:type="dxa"/>
          </w:tcPr>
          <w:p w14:paraId="62EDBA93" w14:textId="77777777" w:rsidR="001F5B07" w:rsidRDefault="001F5B07"/>
        </w:tc>
        <w:tc>
          <w:tcPr>
            <w:tcW w:w="545" w:type="dxa"/>
          </w:tcPr>
          <w:p w14:paraId="551B7916" w14:textId="77777777" w:rsidR="001F5B07" w:rsidRDefault="001F5B07"/>
        </w:tc>
      </w:tr>
      <w:tr w:rsidR="001F5B07" w14:paraId="1A2ABE53" w14:textId="77777777">
        <w:trPr>
          <w:trHeight w:hRule="exact" w:val="637"/>
        </w:trPr>
        <w:tc>
          <w:tcPr>
            <w:tcW w:w="1225" w:type="dxa"/>
          </w:tcPr>
          <w:p w14:paraId="372D1207" w14:textId="77777777" w:rsidR="001F5B07" w:rsidRDefault="000A05EA">
            <w:pPr>
              <w:pStyle w:val="TableParagraph"/>
              <w:spacing w:before="104"/>
              <w:ind w:left="417" w:right="268" w:hanging="130"/>
              <w:rPr>
                <w:sz w:val="18"/>
              </w:rPr>
            </w:pPr>
            <w:r>
              <w:rPr>
                <w:sz w:val="18"/>
              </w:rPr>
              <w:t>Analyse Data</w:t>
            </w:r>
          </w:p>
        </w:tc>
        <w:tc>
          <w:tcPr>
            <w:tcW w:w="456" w:type="dxa"/>
          </w:tcPr>
          <w:p w14:paraId="57195BA0" w14:textId="77777777" w:rsidR="001F5B07" w:rsidRDefault="001F5B07"/>
        </w:tc>
        <w:tc>
          <w:tcPr>
            <w:tcW w:w="456" w:type="dxa"/>
          </w:tcPr>
          <w:p w14:paraId="02DCF51A" w14:textId="77777777" w:rsidR="001F5B07" w:rsidRDefault="001F5B07"/>
        </w:tc>
        <w:tc>
          <w:tcPr>
            <w:tcW w:w="456" w:type="dxa"/>
          </w:tcPr>
          <w:p w14:paraId="71B3901A" w14:textId="77777777" w:rsidR="001F5B07" w:rsidRDefault="001F5B07"/>
        </w:tc>
        <w:tc>
          <w:tcPr>
            <w:tcW w:w="456" w:type="dxa"/>
          </w:tcPr>
          <w:p w14:paraId="10AC355A" w14:textId="77777777" w:rsidR="001F5B07" w:rsidRDefault="001F5B07"/>
        </w:tc>
        <w:tc>
          <w:tcPr>
            <w:tcW w:w="456" w:type="dxa"/>
          </w:tcPr>
          <w:p w14:paraId="39878A7F" w14:textId="77777777" w:rsidR="001F5B07" w:rsidRDefault="001F5B07"/>
        </w:tc>
        <w:tc>
          <w:tcPr>
            <w:tcW w:w="480" w:type="dxa"/>
          </w:tcPr>
          <w:p w14:paraId="1FD90AF2" w14:textId="77777777" w:rsidR="001F5B07" w:rsidRDefault="001F5B07"/>
        </w:tc>
        <w:tc>
          <w:tcPr>
            <w:tcW w:w="480" w:type="dxa"/>
          </w:tcPr>
          <w:p w14:paraId="6485B377" w14:textId="77777777" w:rsidR="001F5B07" w:rsidRDefault="001F5B07"/>
        </w:tc>
        <w:tc>
          <w:tcPr>
            <w:tcW w:w="416" w:type="dxa"/>
          </w:tcPr>
          <w:p w14:paraId="7842B5FE" w14:textId="77777777" w:rsidR="001F5B07" w:rsidRDefault="001F5B07"/>
        </w:tc>
        <w:tc>
          <w:tcPr>
            <w:tcW w:w="418" w:type="dxa"/>
          </w:tcPr>
          <w:p w14:paraId="324CC257" w14:textId="77777777" w:rsidR="001F5B07" w:rsidRDefault="001F5B07"/>
        </w:tc>
        <w:tc>
          <w:tcPr>
            <w:tcW w:w="416" w:type="dxa"/>
          </w:tcPr>
          <w:p w14:paraId="45C86131" w14:textId="77777777" w:rsidR="001F5B07" w:rsidRDefault="001F5B07"/>
        </w:tc>
        <w:tc>
          <w:tcPr>
            <w:tcW w:w="480" w:type="dxa"/>
          </w:tcPr>
          <w:p w14:paraId="3345699F" w14:textId="77777777" w:rsidR="001F5B07" w:rsidRDefault="001F5B07"/>
        </w:tc>
        <w:tc>
          <w:tcPr>
            <w:tcW w:w="480" w:type="dxa"/>
          </w:tcPr>
          <w:p w14:paraId="08F1C3EB" w14:textId="77777777" w:rsidR="001F5B07" w:rsidRDefault="001F5B07"/>
        </w:tc>
        <w:tc>
          <w:tcPr>
            <w:tcW w:w="481" w:type="dxa"/>
          </w:tcPr>
          <w:p w14:paraId="3DF5C8F7" w14:textId="77777777" w:rsidR="001F5B07" w:rsidRDefault="001F5B07"/>
        </w:tc>
        <w:tc>
          <w:tcPr>
            <w:tcW w:w="480" w:type="dxa"/>
          </w:tcPr>
          <w:p w14:paraId="192B8738" w14:textId="77777777" w:rsidR="001F5B07" w:rsidRDefault="001F5B07"/>
        </w:tc>
        <w:tc>
          <w:tcPr>
            <w:tcW w:w="480" w:type="dxa"/>
          </w:tcPr>
          <w:p w14:paraId="35EF40DE" w14:textId="77777777" w:rsidR="001F5B07" w:rsidRDefault="001F5B07"/>
        </w:tc>
        <w:tc>
          <w:tcPr>
            <w:tcW w:w="480" w:type="dxa"/>
          </w:tcPr>
          <w:p w14:paraId="3698501A" w14:textId="77777777" w:rsidR="001F5B07" w:rsidRDefault="001F5B07"/>
        </w:tc>
        <w:tc>
          <w:tcPr>
            <w:tcW w:w="481" w:type="dxa"/>
          </w:tcPr>
          <w:p w14:paraId="0C45CBEB" w14:textId="77777777" w:rsidR="001F5B07" w:rsidRDefault="001F5B07"/>
        </w:tc>
        <w:tc>
          <w:tcPr>
            <w:tcW w:w="480" w:type="dxa"/>
          </w:tcPr>
          <w:p w14:paraId="6CAC9B02" w14:textId="77777777" w:rsidR="001F5B07" w:rsidRDefault="001F5B07"/>
        </w:tc>
        <w:tc>
          <w:tcPr>
            <w:tcW w:w="480" w:type="dxa"/>
          </w:tcPr>
          <w:p w14:paraId="34C3951D" w14:textId="77777777" w:rsidR="001F5B07" w:rsidRDefault="001F5B07"/>
        </w:tc>
        <w:tc>
          <w:tcPr>
            <w:tcW w:w="480" w:type="dxa"/>
          </w:tcPr>
          <w:p w14:paraId="4E3C36E7" w14:textId="77777777" w:rsidR="001F5B07" w:rsidRDefault="001F5B07"/>
        </w:tc>
        <w:tc>
          <w:tcPr>
            <w:tcW w:w="484" w:type="dxa"/>
          </w:tcPr>
          <w:p w14:paraId="77130CB0" w14:textId="77777777" w:rsidR="001F5B07" w:rsidRDefault="001F5B07"/>
        </w:tc>
        <w:tc>
          <w:tcPr>
            <w:tcW w:w="446" w:type="dxa"/>
          </w:tcPr>
          <w:p w14:paraId="30DAB4CC" w14:textId="77777777" w:rsidR="001F5B07" w:rsidRDefault="001F5B07"/>
        </w:tc>
        <w:tc>
          <w:tcPr>
            <w:tcW w:w="589" w:type="dxa"/>
          </w:tcPr>
          <w:p w14:paraId="5156CF80" w14:textId="77777777" w:rsidR="001F5B07" w:rsidRDefault="001F5B07"/>
        </w:tc>
        <w:tc>
          <w:tcPr>
            <w:tcW w:w="545" w:type="dxa"/>
          </w:tcPr>
          <w:p w14:paraId="0A632FBB" w14:textId="77777777" w:rsidR="001F5B07" w:rsidRDefault="001F5B07"/>
        </w:tc>
      </w:tr>
      <w:tr w:rsidR="001F5B07" w14:paraId="79141A31" w14:textId="77777777">
        <w:trPr>
          <w:trHeight w:hRule="exact" w:val="839"/>
        </w:trPr>
        <w:tc>
          <w:tcPr>
            <w:tcW w:w="1225" w:type="dxa"/>
          </w:tcPr>
          <w:p w14:paraId="74D44220" w14:textId="77777777" w:rsidR="001F5B07" w:rsidRDefault="000A05EA">
            <w:pPr>
              <w:pStyle w:val="TableParagraph"/>
              <w:spacing w:before="0"/>
              <w:ind w:left="172" w:right="170" w:hanging="1"/>
              <w:jc w:val="center"/>
              <w:rPr>
                <w:sz w:val="18"/>
              </w:rPr>
            </w:pPr>
            <w:r>
              <w:rPr>
                <w:sz w:val="18"/>
              </w:rPr>
              <w:t>Create Arguments based on analysis</w:t>
            </w:r>
          </w:p>
        </w:tc>
        <w:tc>
          <w:tcPr>
            <w:tcW w:w="456" w:type="dxa"/>
          </w:tcPr>
          <w:p w14:paraId="0DF9CCE0" w14:textId="77777777" w:rsidR="001F5B07" w:rsidRDefault="001F5B07"/>
        </w:tc>
        <w:tc>
          <w:tcPr>
            <w:tcW w:w="456" w:type="dxa"/>
          </w:tcPr>
          <w:p w14:paraId="43355B9B" w14:textId="77777777" w:rsidR="001F5B07" w:rsidRDefault="001F5B07"/>
        </w:tc>
        <w:tc>
          <w:tcPr>
            <w:tcW w:w="456" w:type="dxa"/>
          </w:tcPr>
          <w:p w14:paraId="710825EB" w14:textId="77777777" w:rsidR="001F5B07" w:rsidRDefault="001F5B07"/>
        </w:tc>
        <w:tc>
          <w:tcPr>
            <w:tcW w:w="456" w:type="dxa"/>
          </w:tcPr>
          <w:p w14:paraId="60A395B1" w14:textId="77777777" w:rsidR="001F5B07" w:rsidRDefault="001F5B07"/>
        </w:tc>
        <w:tc>
          <w:tcPr>
            <w:tcW w:w="456" w:type="dxa"/>
          </w:tcPr>
          <w:p w14:paraId="7EB281BC" w14:textId="77777777" w:rsidR="001F5B07" w:rsidRDefault="001F5B07"/>
        </w:tc>
        <w:tc>
          <w:tcPr>
            <w:tcW w:w="480" w:type="dxa"/>
          </w:tcPr>
          <w:p w14:paraId="212812B8" w14:textId="77777777" w:rsidR="001F5B07" w:rsidRDefault="001F5B07"/>
        </w:tc>
        <w:tc>
          <w:tcPr>
            <w:tcW w:w="480" w:type="dxa"/>
          </w:tcPr>
          <w:p w14:paraId="1962D56B" w14:textId="77777777" w:rsidR="001F5B07" w:rsidRDefault="001F5B07"/>
        </w:tc>
        <w:tc>
          <w:tcPr>
            <w:tcW w:w="416" w:type="dxa"/>
          </w:tcPr>
          <w:p w14:paraId="7FA222AA" w14:textId="77777777" w:rsidR="001F5B07" w:rsidRDefault="001F5B07"/>
        </w:tc>
        <w:tc>
          <w:tcPr>
            <w:tcW w:w="418" w:type="dxa"/>
          </w:tcPr>
          <w:p w14:paraId="0A18C7D3" w14:textId="77777777" w:rsidR="001F5B07" w:rsidRDefault="001F5B07"/>
        </w:tc>
        <w:tc>
          <w:tcPr>
            <w:tcW w:w="416" w:type="dxa"/>
          </w:tcPr>
          <w:p w14:paraId="73B6AB10" w14:textId="77777777" w:rsidR="001F5B07" w:rsidRDefault="001F5B07"/>
        </w:tc>
        <w:tc>
          <w:tcPr>
            <w:tcW w:w="480" w:type="dxa"/>
          </w:tcPr>
          <w:p w14:paraId="41CD749B" w14:textId="77777777" w:rsidR="001F5B07" w:rsidRDefault="001F5B07"/>
        </w:tc>
        <w:tc>
          <w:tcPr>
            <w:tcW w:w="480" w:type="dxa"/>
          </w:tcPr>
          <w:p w14:paraId="01FF3874" w14:textId="77777777" w:rsidR="001F5B07" w:rsidRDefault="001F5B07"/>
        </w:tc>
        <w:tc>
          <w:tcPr>
            <w:tcW w:w="481" w:type="dxa"/>
          </w:tcPr>
          <w:p w14:paraId="37255AF6" w14:textId="77777777" w:rsidR="001F5B07" w:rsidRDefault="001F5B07"/>
        </w:tc>
        <w:tc>
          <w:tcPr>
            <w:tcW w:w="480" w:type="dxa"/>
          </w:tcPr>
          <w:p w14:paraId="2F1F5847" w14:textId="77777777" w:rsidR="001F5B07" w:rsidRDefault="001F5B07"/>
        </w:tc>
        <w:tc>
          <w:tcPr>
            <w:tcW w:w="480" w:type="dxa"/>
          </w:tcPr>
          <w:p w14:paraId="608A5C28" w14:textId="77777777" w:rsidR="001F5B07" w:rsidRDefault="001F5B07"/>
        </w:tc>
        <w:tc>
          <w:tcPr>
            <w:tcW w:w="480" w:type="dxa"/>
          </w:tcPr>
          <w:p w14:paraId="36FE457F" w14:textId="77777777" w:rsidR="001F5B07" w:rsidRDefault="001F5B07"/>
        </w:tc>
        <w:tc>
          <w:tcPr>
            <w:tcW w:w="481" w:type="dxa"/>
          </w:tcPr>
          <w:p w14:paraId="53BCE03E" w14:textId="77777777" w:rsidR="001F5B07" w:rsidRDefault="001F5B07"/>
        </w:tc>
        <w:tc>
          <w:tcPr>
            <w:tcW w:w="480" w:type="dxa"/>
          </w:tcPr>
          <w:p w14:paraId="0FF392D4" w14:textId="77777777" w:rsidR="001F5B07" w:rsidRDefault="001F5B07"/>
        </w:tc>
        <w:tc>
          <w:tcPr>
            <w:tcW w:w="480" w:type="dxa"/>
          </w:tcPr>
          <w:p w14:paraId="0E547C80" w14:textId="77777777" w:rsidR="001F5B07" w:rsidRDefault="001F5B07"/>
        </w:tc>
        <w:tc>
          <w:tcPr>
            <w:tcW w:w="480" w:type="dxa"/>
          </w:tcPr>
          <w:p w14:paraId="5A38F7CA" w14:textId="77777777" w:rsidR="001F5B07" w:rsidRDefault="001F5B07"/>
        </w:tc>
        <w:tc>
          <w:tcPr>
            <w:tcW w:w="484" w:type="dxa"/>
          </w:tcPr>
          <w:p w14:paraId="5686F08D" w14:textId="77777777" w:rsidR="001F5B07" w:rsidRDefault="001F5B07"/>
        </w:tc>
        <w:tc>
          <w:tcPr>
            <w:tcW w:w="446" w:type="dxa"/>
          </w:tcPr>
          <w:p w14:paraId="11C727D8" w14:textId="77777777" w:rsidR="001F5B07" w:rsidRDefault="001F5B07"/>
        </w:tc>
        <w:tc>
          <w:tcPr>
            <w:tcW w:w="589" w:type="dxa"/>
          </w:tcPr>
          <w:p w14:paraId="20503C0C" w14:textId="77777777" w:rsidR="001F5B07" w:rsidRDefault="001F5B07"/>
        </w:tc>
        <w:tc>
          <w:tcPr>
            <w:tcW w:w="545" w:type="dxa"/>
          </w:tcPr>
          <w:p w14:paraId="411C6323" w14:textId="77777777" w:rsidR="001F5B07" w:rsidRDefault="001F5B07"/>
        </w:tc>
      </w:tr>
      <w:tr w:rsidR="001F5B07" w14:paraId="232A218F" w14:textId="77777777">
        <w:trPr>
          <w:trHeight w:hRule="exact" w:val="637"/>
        </w:trPr>
        <w:tc>
          <w:tcPr>
            <w:tcW w:w="1225" w:type="dxa"/>
          </w:tcPr>
          <w:p w14:paraId="133DB9E6" w14:textId="77777777" w:rsidR="001F5B07" w:rsidRDefault="001F5B07">
            <w:pPr>
              <w:pStyle w:val="TableParagraph"/>
              <w:spacing w:before="1"/>
              <w:rPr>
                <w:rFonts w:ascii="Calibri"/>
                <w:sz w:val="17"/>
              </w:rPr>
            </w:pPr>
          </w:p>
          <w:p w14:paraId="421155D7" w14:textId="77777777" w:rsidR="001F5B07" w:rsidRDefault="000A05EA">
            <w:pPr>
              <w:pStyle w:val="TableParagraph"/>
              <w:spacing w:before="0"/>
              <w:ind w:left="102" w:right="102"/>
              <w:jc w:val="center"/>
              <w:rPr>
                <w:sz w:val="18"/>
              </w:rPr>
            </w:pPr>
            <w:r>
              <w:rPr>
                <w:sz w:val="18"/>
              </w:rPr>
              <w:t>Submit draft</w:t>
            </w:r>
          </w:p>
        </w:tc>
        <w:tc>
          <w:tcPr>
            <w:tcW w:w="456" w:type="dxa"/>
          </w:tcPr>
          <w:p w14:paraId="2E16F62B" w14:textId="77777777" w:rsidR="001F5B07" w:rsidRDefault="001F5B07"/>
        </w:tc>
        <w:tc>
          <w:tcPr>
            <w:tcW w:w="456" w:type="dxa"/>
          </w:tcPr>
          <w:p w14:paraId="41EE9A06" w14:textId="77777777" w:rsidR="001F5B07" w:rsidRDefault="001F5B07"/>
        </w:tc>
        <w:tc>
          <w:tcPr>
            <w:tcW w:w="456" w:type="dxa"/>
          </w:tcPr>
          <w:p w14:paraId="7997C02D" w14:textId="77777777" w:rsidR="001F5B07" w:rsidRDefault="001F5B07"/>
        </w:tc>
        <w:tc>
          <w:tcPr>
            <w:tcW w:w="456" w:type="dxa"/>
          </w:tcPr>
          <w:p w14:paraId="4DB4830C" w14:textId="77777777" w:rsidR="001F5B07" w:rsidRDefault="001F5B07"/>
        </w:tc>
        <w:tc>
          <w:tcPr>
            <w:tcW w:w="456" w:type="dxa"/>
          </w:tcPr>
          <w:p w14:paraId="21143136" w14:textId="77777777" w:rsidR="001F5B07" w:rsidRDefault="001F5B07"/>
        </w:tc>
        <w:tc>
          <w:tcPr>
            <w:tcW w:w="480" w:type="dxa"/>
          </w:tcPr>
          <w:p w14:paraId="1EB0B3E5" w14:textId="77777777" w:rsidR="001F5B07" w:rsidRDefault="001F5B07"/>
        </w:tc>
        <w:tc>
          <w:tcPr>
            <w:tcW w:w="480" w:type="dxa"/>
          </w:tcPr>
          <w:p w14:paraId="7BF21268" w14:textId="77777777" w:rsidR="001F5B07" w:rsidRDefault="001F5B07"/>
        </w:tc>
        <w:tc>
          <w:tcPr>
            <w:tcW w:w="416" w:type="dxa"/>
          </w:tcPr>
          <w:p w14:paraId="10B92528" w14:textId="77777777" w:rsidR="001F5B07" w:rsidRDefault="001F5B07"/>
        </w:tc>
        <w:tc>
          <w:tcPr>
            <w:tcW w:w="418" w:type="dxa"/>
          </w:tcPr>
          <w:p w14:paraId="29D32F4C" w14:textId="77777777" w:rsidR="001F5B07" w:rsidRDefault="001F5B07"/>
        </w:tc>
        <w:tc>
          <w:tcPr>
            <w:tcW w:w="416" w:type="dxa"/>
          </w:tcPr>
          <w:p w14:paraId="25CA4031" w14:textId="77777777" w:rsidR="001F5B07" w:rsidRDefault="001F5B07"/>
        </w:tc>
        <w:tc>
          <w:tcPr>
            <w:tcW w:w="480" w:type="dxa"/>
          </w:tcPr>
          <w:p w14:paraId="5B0D5983" w14:textId="77777777" w:rsidR="001F5B07" w:rsidRDefault="001F5B07"/>
        </w:tc>
        <w:tc>
          <w:tcPr>
            <w:tcW w:w="480" w:type="dxa"/>
          </w:tcPr>
          <w:p w14:paraId="2A2FDBE5" w14:textId="77777777" w:rsidR="001F5B07" w:rsidRDefault="001F5B07"/>
        </w:tc>
        <w:tc>
          <w:tcPr>
            <w:tcW w:w="481" w:type="dxa"/>
          </w:tcPr>
          <w:p w14:paraId="0913A9D9" w14:textId="77777777" w:rsidR="001F5B07" w:rsidRDefault="001F5B07"/>
        </w:tc>
        <w:tc>
          <w:tcPr>
            <w:tcW w:w="480" w:type="dxa"/>
          </w:tcPr>
          <w:p w14:paraId="5267B283" w14:textId="77777777" w:rsidR="001F5B07" w:rsidRDefault="001F5B07"/>
        </w:tc>
        <w:tc>
          <w:tcPr>
            <w:tcW w:w="480" w:type="dxa"/>
          </w:tcPr>
          <w:p w14:paraId="6F382CC5" w14:textId="77777777" w:rsidR="001F5B07" w:rsidRDefault="001F5B07"/>
        </w:tc>
        <w:tc>
          <w:tcPr>
            <w:tcW w:w="480" w:type="dxa"/>
          </w:tcPr>
          <w:p w14:paraId="591A71F5" w14:textId="77777777" w:rsidR="001F5B07" w:rsidRDefault="001F5B07"/>
        </w:tc>
        <w:tc>
          <w:tcPr>
            <w:tcW w:w="481" w:type="dxa"/>
          </w:tcPr>
          <w:p w14:paraId="6692AF86" w14:textId="77777777" w:rsidR="001F5B07" w:rsidRDefault="001F5B07"/>
        </w:tc>
        <w:tc>
          <w:tcPr>
            <w:tcW w:w="480" w:type="dxa"/>
          </w:tcPr>
          <w:p w14:paraId="24649A9F" w14:textId="77777777" w:rsidR="001F5B07" w:rsidRDefault="001F5B07"/>
        </w:tc>
        <w:tc>
          <w:tcPr>
            <w:tcW w:w="480" w:type="dxa"/>
          </w:tcPr>
          <w:p w14:paraId="428C91AA" w14:textId="77777777" w:rsidR="001F5B07" w:rsidRDefault="001F5B07"/>
        </w:tc>
        <w:tc>
          <w:tcPr>
            <w:tcW w:w="480" w:type="dxa"/>
          </w:tcPr>
          <w:p w14:paraId="25BD00AC" w14:textId="77777777" w:rsidR="001F5B07" w:rsidRDefault="001F5B07"/>
        </w:tc>
        <w:tc>
          <w:tcPr>
            <w:tcW w:w="484" w:type="dxa"/>
          </w:tcPr>
          <w:p w14:paraId="5ECF9F1F" w14:textId="77777777" w:rsidR="001F5B07" w:rsidRDefault="001F5B07"/>
        </w:tc>
        <w:tc>
          <w:tcPr>
            <w:tcW w:w="446" w:type="dxa"/>
          </w:tcPr>
          <w:p w14:paraId="5E1863E4" w14:textId="77777777" w:rsidR="001F5B07" w:rsidRDefault="001F5B07"/>
        </w:tc>
        <w:tc>
          <w:tcPr>
            <w:tcW w:w="589" w:type="dxa"/>
          </w:tcPr>
          <w:p w14:paraId="68BD16CA" w14:textId="77777777" w:rsidR="001F5B07" w:rsidRDefault="001F5B07"/>
        </w:tc>
        <w:tc>
          <w:tcPr>
            <w:tcW w:w="545" w:type="dxa"/>
          </w:tcPr>
          <w:p w14:paraId="392031FA" w14:textId="77777777" w:rsidR="001F5B07" w:rsidRDefault="001F5B07"/>
        </w:tc>
      </w:tr>
      <w:tr w:rsidR="001F5B07" w14:paraId="3E011086" w14:textId="77777777">
        <w:trPr>
          <w:trHeight w:hRule="exact" w:val="638"/>
        </w:trPr>
        <w:tc>
          <w:tcPr>
            <w:tcW w:w="1225" w:type="dxa"/>
          </w:tcPr>
          <w:p w14:paraId="22562758" w14:textId="77777777" w:rsidR="001F5B07" w:rsidRDefault="000A05EA">
            <w:pPr>
              <w:pStyle w:val="TableParagraph"/>
              <w:spacing w:before="104"/>
              <w:ind w:left="242" w:right="223" w:firstLine="40"/>
              <w:rPr>
                <w:sz w:val="18"/>
              </w:rPr>
            </w:pPr>
            <w:r>
              <w:rPr>
                <w:sz w:val="18"/>
              </w:rPr>
              <w:t>Receive feedback</w:t>
            </w:r>
          </w:p>
        </w:tc>
        <w:tc>
          <w:tcPr>
            <w:tcW w:w="456" w:type="dxa"/>
          </w:tcPr>
          <w:p w14:paraId="5E301DE1" w14:textId="77777777" w:rsidR="001F5B07" w:rsidRDefault="001F5B07"/>
        </w:tc>
        <w:tc>
          <w:tcPr>
            <w:tcW w:w="456" w:type="dxa"/>
          </w:tcPr>
          <w:p w14:paraId="76F72271" w14:textId="77777777" w:rsidR="001F5B07" w:rsidRDefault="001F5B07"/>
        </w:tc>
        <w:tc>
          <w:tcPr>
            <w:tcW w:w="456" w:type="dxa"/>
          </w:tcPr>
          <w:p w14:paraId="01F143DD" w14:textId="77777777" w:rsidR="001F5B07" w:rsidRDefault="001F5B07"/>
        </w:tc>
        <w:tc>
          <w:tcPr>
            <w:tcW w:w="456" w:type="dxa"/>
          </w:tcPr>
          <w:p w14:paraId="1FC51DAC" w14:textId="77777777" w:rsidR="001F5B07" w:rsidRDefault="001F5B07"/>
        </w:tc>
        <w:tc>
          <w:tcPr>
            <w:tcW w:w="456" w:type="dxa"/>
          </w:tcPr>
          <w:p w14:paraId="681025A7" w14:textId="77777777" w:rsidR="001F5B07" w:rsidRDefault="001F5B07"/>
        </w:tc>
        <w:tc>
          <w:tcPr>
            <w:tcW w:w="480" w:type="dxa"/>
          </w:tcPr>
          <w:p w14:paraId="4E81642A" w14:textId="77777777" w:rsidR="001F5B07" w:rsidRDefault="001F5B07"/>
        </w:tc>
        <w:tc>
          <w:tcPr>
            <w:tcW w:w="480" w:type="dxa"/>
          </w:tcPr>
          <w:p w14:paraId="54EC79B2" w14:textId="77777777" w:rsidR="001F5B07" w:rsidRDefault="001F5B07"/>
        </w:tc>
        <w:tc>
          <w:tcPr>
            <w:tcW w:w="416" w:type="dxa"/>
          </w:tcPr>
          <w:p w14:paraId="0F0584B9" w14:textId="77777777" w:rsidR="001F5B07" w:rsidRDefault="001F5B07"/>
        </w:tc>
        <w:tc>
          <w:tcPr>
            <w:tcW w:w="418" w:type="dxa"/>
          </w:tcPr>
          <w:p w14:paraId="61C165A0" w14:textId="77777777" w:rsidR="001F5B07" w:rsidRDefault="001F5B07"/>
        </w:tc>
        <w:tc>
          <w:tcPr>
            <w:tcW w:w="416" w:type="dxa"/>
          </w:tcPr>
          <w:p w14:paraId="5364A2B6" w14:textId="77777777" w:rsidR="001F5B07" w:rsidRDefault="001F5B07"/>
        </w:tc>
        <w:tc>
          <w:tcPr>
            <w:tcW w:w="480" w:type="dxa"/>
          </w:tcPr>
          <w:p w14:paraId="56C2F60F" w14:textId="77777777" w:rsidR="001F5B07" w:rsidRDefault="001F5B07"/>
        </w:tc>
        <w:tc>
          <w:tcPr>
            <w:tcW w:w="480" w:type="dxa"/>
          </w:tcPr>
          <w:p w14:paraId="10668467" w14:textId="77777777" w:rsidR="001F5B07" w:rsidRDefault="001F5B07"/>
        </w:tc>
        <w:tc>
          <w:tcPr>
            <w:tcW w:w="481" w:type="dxa"/>
          </w:tcPr>
          <w:p w14:paraId="47F22CEC" w14:textId="77777777" w:rsidR="001F5B07" w:rsidRDefault="001F5B07"/>
        </w:tc>
        <w:tc>
          <w:tcPr>
            <w:tcW w:w="480" w:type="dxa"/>
          </w:tcPr>
          <w:p w14:paraId="30B23AD8" w14:textId="77777777" w:rsidR="001F5B07" w:rsidRDefault="001F5B07"/>
        </w:tc>
        <w:tc>
          <w:tcPr>
            <w:tcW w:w="480" w:type="dxa"/>
          </w:tcPr>
          <w:p w14:paraId="40883388" w14:textId="77777777" w:rsidR="001F5B07" w:rsidRDefault="001F5B07"/>
        </w:tc>
        <w:tc>
          <w:tcPr>
            <w:tcW w:w="480" w:type="dxa"/>
          </w:tcPr>
          <w:p w14:paraId="442DB1B0" w14:textId="77777777" w:rsidR="001F5B07" w:rsidRDefault="001F5B07"/>
        </w:tc>
        <w:tc>
          <w:tcPr>
            <w:tcW w:w="481" w:type="dxa"/>
          </w:tcPr>
          <w:p w14:paraId="28067924" w14:textId="77777777" w:rsidR="001F5B07" w:rsidRDefault="001F5B07"/>
        </w:tc>
        <w:tc>
          <w:tcPr>
            <w:tcW w:w="480" w:type="dxa"/>
          </w:tcPr>
          <w:p w14:paraId="1B622981" w14:textId="77777777" w:rsidR="001F5B07" w:rsidRDefault="001F5B07"/>
        </w:tc>
        <w:tc>
          <w:tcPr>
            <w:tcW w:w="480" w:type="dxa"/>
          </w:tcPr>
          <w:p w14:paraId="1FDF0206" w14:textId="77777777" w:rsidR="001F5B07" w:rsidRDefault="001F5B07"/>
        </w:tc>
        <w:tc>
          <w:tcPr>
            <w:tcW w:w="480" w:type="dxa"/>
          </w:tcPr>
          <w:p w14:paraId="495D5095" w14:textId="77777777" w:rsidR="001F5B07" w:rsidRDefault="001F5B07"/>
        </w:tc>
        <w:tc>
          <w:tcPr>
            <w:tcW w:w="484" w:type="dxa"/>
          </w:tcPr>
          <w:p w14:paraId="1BE94B02" w14:textId="77777777" w:rsidR="001F5B07" w:rsidRDefault="001F5B07"/>
        </w:tc>
        <w:tc>
          <w:tcPr>
            <w:tcW w:w="446" w:type="dxa"/>
          </w:tcPr>
          <w:p w14:paraId="5FEF4E43" w14:textId="77777777" w:rsidR="001F5B07" w:rsidRDefault="001F5B07"/>
        </w:tc>
        <w:tc>
          <w:tcPr>
            <w:tcW w:w="589" w:type="dxa"/>
          </w:tcPr>
          <w:p w14:paraId="7A9A4591" w14:textId="77777777" w:rsidR="001F5B07" w:rsidRDefault="001F5B07"/>
        </w:tc>
        <w:tc>
          <w:tcPr>
            <w:tcW w:w="545" w:type="dxa"/>
          </w:tcPr>
          <w:p w14:paraId="0B6BB4BB" w14:textId="77777777" w:rsidR="001F5B07" w:rsidRDefault="001F5B07"/>
        </w:tc>
      </w:tr>
      <w:tr w:rsidR="001F5B07" w14:paraId="4F065AD3" w14:textId="77777777">
        <w:trPr>
          <w:trHeight w:hRule="exact" w:val="637"/>
        </w:trPr>
        <w:tc>
          <w:tcPr>
            <w:tcW w:w="1225" w:type="dxa"/>
          </w:tcPr>
          <w:p w14:paraId="49E3AD0F" w14:textId="77777777" w:rsidR="001F5B07" w:rsidRDefault="000A05EA">
            <w:pPr>
              <w:pStyle w:val="TableParagraph"/>
              <w:spacing w:before="104"/>
              <w:ind w:left="373" w:right="118" w:hanging="236"/>
              <w:rPr>
                <w:sz w:val="18"/>
              </w:rPr>
            </w:pPr>
            <w:r>
              <w:rPr>
                <w:sz w:val="18"/>
              </w:rPr>
              <w:t>Submit final report</w:t>
            </w:r>
          </w:p>
        </w:tc>
        <w:tc>
          <w:tcPr>
            <w:tcW w:w="456" w:type="dxa"/>
          </w:tcPr>
          <w:p w14:paraId="3E73041F" w14:textId="77777777" w:rsidR="001F5B07" w:rsidRDefault="001F5B07"/>
        </w:tc>
        <w:tc>
          <w:tcPr>
            <w:tcW w:w="456" w:type="dxa"/>
          </w:tcPr>
          <w:p w14:paraId="5D71F3C6" w14:textId="77777777" w:rsidR="001F5B07" w:rsidRDefault="001F5B07"/>
        </w:tc>
        <w:tc>
          <w:tcPr>
            <w:tcW w:w="456" w:type="dxa"/>
          </w:tcPr>
          <w:p w14:paraId="77A1DCF3" w14:textId="77777777" w:rsidR="001F5B07" w:rsidRDefault="001F5B07"/>
        </w:tc>
        <w:tc>
          <w:tcPr>
            <w:tcW w:w="456" w:type="dxa"/>
          </w:tcPr>
          <w:p w14:paraId="17A6574F" w14:textId="77777777" w:rsidR="001F5B07" w:rsidRDefault="001F5B07"/>
        </w:tc>
        <w:tc>
          <w:tcPr>
            <w:tcW w:w="456" w:type="dxa"/>
          </w:tcPr>
          <w:p w14:paraId="63701D15" w14:textId="77777777" w:rsidR="001F5B07" w:rsidRDefault="001F5B07"/>
        </w:tc>
        <w:tc>
          <w:tcPr>
            <w:tcW w:w="480" w:type="dxa"/>
          </w:tcPr>
          <w:p w14:paraId="5F188EFC" w14:textId="77777777" w:rsidR="001F5B07" w:rsidRDefault="001F5B07"/>
        </w:tc>
        <w:tc>
          <w:tcPr>
            <w:tcW w:w="480" w:type="dxa"/>
          </w:tcPr>
          <w:p w14:paraId="4C324A04" w14:textId="77777777" w:rsidR="001F5B07" w:rsidRDefault="001F5B07"/>
        </w:tc>
        <w:tc>
          <w:tcPr>
            <w:tcW w:w="416" w:type="dxa"/>
          </w:tcPr>
          <w:p w14:paraId="404E4795" w14:textId="77777777" w:rsidR="001F5B07" w:rsidRDefault="001F5B07"/>
        </w:tc>
        <w:tc>
          <w:tcPr>
            <w:tcW w:w="418" w:type="dxa"/>
          </w:tcPr>
          <w:p w14:paraId="161CE796" w14:textId="77777777" w:rsidR="001F5B07" w:rsidRDefault="001F5B07"/>
        </w:tc>
        <w:tc>
          <w:tcPr>
            <w:tcW w:w="416" w:type="dxa"/>
          </w:tcPr>
          <w:p w14:paraId="6DED31C4" w14:textId="77777777" w:rsidR="001F5B07" w:rsidRDefault="001F5B07"/>
        </w:tc>
        <w:tc>
          <w:tcPr>
            <w:tcW w:w="480" w:type="dxa"/>
          </w:tcPr>
          <w:p w14:paraId="3F9B28F6" w14:textId="77777777" w:rsidR="001F5B07" w:rsidRDefault="001F5B07"/>
        </w:tc>
        <w:tc>
          <w:tcPr>
            <w:tcW w:w="480" w:type="dxa"/>
          </w:tcPr>
          <w:p w14:paraId="3E7F297A" w14:textId="77777777" w:rsidR="001F5B07" w:rsidRDefault="001F5B07"/>
        </w:tc>
        <w:tc>
          <w:tcPr>
            <w:tcW w:w="481" w:type="dxa"/>
          </w:tcPr>
          <w:p w14:paraId="2F670B6E" w14:textId="77777777" w:rsidR="001F5B07" w:rsidRDefault="001F5B07"/>
        </w:tc>
        <w:tc>
          <w:tcPr>
            <w:tcW w:w="480" w:type="dxa"/>
          </w:tcPr>
          <w:p w14:paraId="1F2E5A32" w14:textId="77777777" w:rsidR="001F5B07" w:rsidRDefault="001F5B07"/>
        </w:tc>
        <w:tc>
          <w:tcPr>
            <w:tcW w:w="480" w:type="dxa"/>
          </w:tcPr>
          <w:p w14:paraId="504704D5" w14:textId="77777777" w:rsidR="001F5B07" w:rsidRDefault="001F5B07"/>
        </w:tc>
        <w:tc>
          <w:tcPr>
            <w:tcW w:w="480" w:type="dxa"/>
          </w:tcPr>
          <w:p w14:paraId="4F9142F5" w14:textId="77777777" w:rsidR="001F5B07" w:rsidRDefault="001F5B07"/>
        </w:tc>
        <w:tc>
          <w:tcPr>
            <w:tcW w:w="481" w:type="dxa"/>
          </w:tcPr>
          <w:p w14:paraId="12C29A35" w14:textId="77777777" w:rsidR="001F5B07" w:rsidRDefault="001F5B07"/>
        </w:tc>
        <w:tc>
          <w:tcPr>
            <w:tcW w:w="480" w:type="dxa"/>
          </w:tcPr>
          <w:p w14:paraId="4EA297A1" w14:textId="77777777" w:rsidR="001F5B07" w:rsidRDefault="001F5B07"/>
        </w:tc>
        <w:tc>
          <w:tcPr>
            <w:tcW w:w="480" w:type="dxa"/>
          </w:tcPr>
          <w:p w14:paraId="4E9FD40E" w14:textId="77777777" w:rsidR="001F5B07" w:rsidRDefault="001F5B07"/>
        </w:tc>
        <w:tc>
          <w:tcPr>
            <w:tcW w:w="480" w:type="dxa"/>
          </w:tcPr>
          <w:p w14:paraId="6496EB62" w14:textId="77777777" w:rsidR="001F5B07" w:rsidRDefault="001F5B07"/>
        </w:tc>
        <w:tc>
          <w:tcPr>
            <w:tcW w:w="484" w:type="dxa"/>
          </w:tcPr>
          <w:p w14:paraId="0CD107B0" w14:textId="77777777" w:rsidR="001F5B07" w:rsidRDefault="001F5B07"/>
        </w:tc>
        <w:tc>
          <w:tcPr>
            <w:tcW w:w="446" w:type="dxa"/>
          </w:tcPr>
          <w:p w14:paraId="4A20B2CB" w14:textId="77777777" w:rsidR="001F5B07" w:rsidRDefault="001F5B07"/>
        </w:tc>
        <w:tc>
          <w:tcPr>
            <w:tcW w:w="589" w:type="dxa"/>
          </w:tcPr>
          <w:p w14:paraId="6377F700" w14:textId="77777777" w:rsidR="001F5B07" w:rsidRDefault="001F5B07"/>
        </w:tc>
        <w:tc>
          <w:tcPr>
            <w:tcW w:w="545" w:type="dxa"/>
          </w:tcPr>
          <w:p w14:paraId="0C4BB25D" w14:textId="77777777" w:rsidR="001F5B07" w:rsidRDefault="001F5B07"/>
        </w:tc>
      </w:tr>
    </w:tbl>
    <w:p w14:paraId="41D71D9B" w14:textId="77777777" w:rsidR="001F5B07" w:rsidRDefault="001F5B07">
      <w:pPr>
        <w:pStyle w:val="a3"/>
        <w:rPr>
          <w:sz w:val="20"/>
        </w:rPr>
      </w:pPr>
    </w:p>
    <w:p w14:paraId="74978BB0" w14:textId="77777777" w:rsidR="001F5B07" w:rsidRDefault="001F5B07">
      <w:pPr>
        <w:pStyle w:val="a3"/>
        <w:rPr>
          <w:sz w:val="20"/>
        </w:rPr>
      </w:pPr>
    </w:p>
    <w:p w14:paraId="74D6CA9B" w14:textId="77777777" w:rsidR="001F5B07" w:rsidRDefault="001F5B07">
      <w:pPr>
        <w:pStyle w:val="a3"/>
        <w:rPr>
          <w:sz w:val="20"/>
        </w:rPr>
      </w:pPr>
    </w:p>
    <w:p w14:paraId="6F279D42" w14:textId="77777777" w:rsidR="001F5B07" w:rsidRDefault="001F5B07">
      <w:pPr>
        <w:pStyle w:val="a3"/>
        <w:rPr>
          <w:sz w:val="20"/>
        </w:rPr>
      </w:pPr>
    </w:p>
    <w:p w14:paraId="5DC8DE0B" w14:textId="77777777" w:rsidR="001F5B07" w:rsidRDefault="00B138C9">
      <w:pPr>
        <w:pStyle w:val="a3"/>
        <w:spacing w:before="6"/>
        <w:rPr>
          <w:sz w:val="12"/>
        </w:rPr>
      </w:pPr>
      <w:r>
        <w:pict w14:anchorId="62DAACF0">
          <v:group id="_x0000_s1091" style="position:absolute;margin-left:69pt;margin-top:9.6pt;width:703.95pt;height:4.5pt;z-index:251656192;mso-wrap-distance-left:0;mso-wrap-distance-right:0;mso-position-horizontal-relative:page" coordorigin="1380,192" coordsize="14079,90">
            <v:line id="_x0000_s1093" style="position:absolute" from="1410,222" to="15428,222" strokecolor="#622423" strokeweight="3pt"/>
            <v:line id="_x0000_s1092" style="position:absolute" from="1410,274" to="15428,274" strokecolor="#622423" strokeweight=".72pt"/>
            <w10:wrap type="topAndBottom" anchorx="page"/>
          </v:group>
        </w:pict>
      </w:r>
    </w:p>
    <w:p w14:paraId="7DFB2994" w14:textId="77777777" w:rsidR="001F5B07" w:rsidRDefault="000A05EA">
      <w:pPr>
        <w:pStyle w:val="a3"/>
        <w:spacing w:line="260" w:lineRule="exact"/>
        <w:ind w:right="159"/>
        <w:jc w:val="right"/>
      </w:pPr>
      <w:r>
        <w:t>Page 12</w:t>
      </w:r>
    </w:p>
    <w:p w14:paraId="27770DF3" w14:textId="77777777" w:rsidR="001F5B07" w:rsidRDefault="001F5B07">
      <w:pPr>
        <w:spacing w:line="260" w:lineRule="exact"/>
        <w:jc w:val="right"/>
        <w:sectPr w:rsidR="001F5B07">
          <w:headerReference w:type="default" r:id="rId12"/>
          <w:footerReference w:type="default" r:id="rId13"/>
          <w:pgSz w:w="16840" w:h="11910" w:orient="landscape"/>
          <w:pgMar w:top="380" w:right="1280" w:bottom="280" w:left="1220" w:header="0" w:footer="0" w:gutter="0"/>
          <w:cols w:space="720"/>
        </w:sectPr>
      </w:pPr>
    </w:p>
    <w:p w14:paraId="1D5EEE6F" w14:textId="77777777" w:rsidR="001F5B07" w:rsidRDefault="001F5B07">
      <w:pPr>
        <w:pStyle w:val="a3"/>
        <w:rPr>
          <w:sz w:val="20"/>
        </w:rPr>
      </w:pPr>
    </w:p>
    <w:p w14:paraId="5DEDD2EB" w14:textId="77777777" w:rsidR="001F5B07" w:rsidRDefault="001F5B07">
      <w:pPr>
        <w:pStyle w:val="a3"/>
        <w:rPr>
          <w:sz w:val="20"/>
        </w:rPr>
      </w:pPr>
    </w:p>
    <w:p w14:paraId="07C15CDD" w14:textId="77777777" w:rsidR="001F5B07" w:rsidRDefault="001F5B07">
      <w:pPr>
        <w:pStyle w:val="a3"/>
        <w:rPr>
          <w:sz w:val="20"/>
        </w:rPr>
      </w:pPr>
    </w:p>
    <w:p w14:paraId="20143572" w14:textId="77777777" w:rsidR="001F5B07" w:rsidRDefault="001F5B07">
      <w:pPr>
        <w:pStyle w:val="a3"/>
        <w:spacing w:before="4"/>
        <w:rPr>
          <w:sz w:val="27"/>
        </w:rPr>
      </w:pPr>
    </w:p>
    <w:p w14:paraId="425321DE" w14:textId="77777777" w:rsidR="001F5B07" w:rsidRDefault="000A05EA">
      <w:pPr>
        <w:pStyle w:val="1"/>
        <w:spacing w:before="43"/>
      </w:pPr>
      <w:bookmarkStart w:id="20" w:name="References_and_Bibliography"/>
      <w:bookmarkStart w:id="21" w:name="_bookmark7"/>
      <w:bookmarkEnd w:id="20"/>
      <w:bookmarkEnd w:id="21"/>
      <w:r>
        <w:t>References and Bibliography</w:t>
      </w:r>
    </w:p>
    <w:p w14:paraId="0A47181F" w14:textId="77777777" w:rsidR="001F5B07" w:rsidRDefault="000A05EA">
      <w:pPr>
        <w:pStyle w:val="a3"/>
        <w:spacing w:before="171" w:line="360" w:lineRule="auto"/>
        <w:ind w:left="159" w:right="1582"/>
      </w:pPr>
      <w:r>
        <w:t>ABBOTT, A., CUSHMAN, D. O., &amp; DE VITA, G. (2012). Exchange Rate Regimes and Foreign Direct Investment Flows to Developing Countries. Review of International Economics. 20.</w:t>
      </w:r>
    </w:p>
    <w:p w14:paraId="647501E6" w14:textId="77777777" w:rsidR="001F5B07" w:rsidRDefault="001F5B07">
      <w:pPr>
        <w:pStyle w:val="a3"/>
        <w:spacing w:before="4"/>
        <w:rPr>
          <w:sz w:val="16"/>
        </w:rPr>
      </w:pPr>
    </w:p>
    <w:p w14:paraId="77D6CDEF" w14:textId="77777777" w:rsidR="001F5B07" w:rsidRDefault="000A05EA">
      <w:pPr>
        <w:pStyle w:val="a3"/>
        <w:spacing w:line="360" w:lineRule="auto"/>
        <w:ind w:left="159" w:right="1523"/>
      </w:pPr>
      <w:proofErr w:type="spellStart"/>
      <w:r>
        <w:t>Akinlo</w:t>
      </w:r>
      <w:proofErr w:type="spellEnd"/>
      <w:r>
        <w:t>, A.E. (2004); “Foreign direct investment and growth in Nigeria: A empirical investigation” Journal of Policy Modelling, vol. 26 No. 3 pp. 627‐ 39</w:t>
      </w:r>
    </w:p>
    <w:p w14:paraId="06A753EC" w14:textId="77777777" w:rsidR="001F5B07" w:rsidRDefault="001F5B07">
      <w:pPr>
        <w:pStyle w:val="a3"/>
        <w:spacing w:before="4"/>
        <w:rPr>
          <w:sz w:val="16"/>
        </w:rPr>
      </w:pPr>
    </w:p>
    <w:p w14:paraId="5C4B2F38" w14:textId="77777777" w:rsidR="001F5B07" w:rsidRDefault="000A05EA">
      <w:pPr>
        <w:pStyle w:val="a3"/>
        <w:spacing w:line="360" w:lineRule="auto"/>
        <w:ind w:left="160" w:right="1223" w:hanging="2"/>
      </w:pPr>
      <w:r>
        <w:t>AKPAN, P.L., 2009. Governance and Gross Domestic Investment in Developing Economies: Issues in Exchange Rate Instability in Nigeria. Rochester, Rochester</w:t>
      </w:r>
      <w:proofErr w:type="gramStart"/>
      <w:r>
        <w:t>: .</w:t>
      </w:r>
      <w:proofErr w:type="gramEnd"/>
    </w:p>
    <w:p w14:paraId="4B5F50CF" w14:textId="77777777" w:rsidR="001F5B07" w:rsidRDefault="001F5B07">
      <w:pPr>
        <w:pStyle w:val="a3"/>
        <w:spacing w:before="4"/>
        <w:rPr>
          <w:sz w:val="16"/>
        </w:rPr>
      </w:pPr>
    </w:p>
    <w:p w14:paraId="22ABEA65" w14:textId="77777777" w:rsidR="001F5B07" w:rsidRDefault="000A05EA">
      <w:pPr>
        <w:pStyle w:val="a3"/>
        <w:spacing w:line="360" w:lineRule="auto"/>
        <w:ind w:left="160" w:right="1511" w:hanging="1"/>
      </w:pPr>
      <w:proofErr w:type="spellStart"/>
      <w:r>
        <w:t>Alaba</w:t>
      </w:r>
      <w:proofErr w:type="spellEnd"/>
      <w:r>
        <w:t xml:space="preserve">, O.B. (2003) “Exchange Rate Uncertainty and Foreign Direct Investment in Nigeria”, Trade Policy Research and Training </w:t>
      </w:r>
      <w:proofErr w:type="spellStart"/>
      <w:r>
        <w:t>Programme</w:t>
      </w:r>
      <w:proofErr w:type="spellEnd"/>
      <w:r>
        <w:t xml:space="preserve"> (TPRTP), University of Ibadan, Nigeria.</w:t>
      </w:r>
    </w:p>
    <w:p w14:paraId="384BEC53" w14:textId="77777777" w:rsidR="001F5B07" w:rsidRDefault="001F5B07">
      <w:pPr>
        <w:pStyle w:val="a3"/>
        <w:spacing w:before="4"/>
        <w:rPr>
          <w:sz w:val="16"/>
        </w:rPr>
      </w:pPr>
    </w:p>
    <w:p w14:paraId="53B5F881" w14:textId="77777777" w:rsidR="001F5B07" w:rsidRDefault="000A05EA">
      <w:pPr>
        <w:pStyle w:val="a3"/>
        <w:spacing w:line="360" w:lineRule="auto"/>
        <w:ind w:left="159" w:right="1227" w:hanging="1"/>
      </w:pPr>
      <w:r>
        <w:t>ALFARO, L. (2003). FDI spillovers, financial markets, and economic development. Washington, D.C., International Monetary Fund.</w:t>
      </w:r>
    </w:p>
    <w:p w14:paraId="070B4A3A" w14:textId="77777777" w:rsidR="001F5B07" w:rsidRDefault="001F5B07">
      <w:pPr>
        <w:pStyle w:val="a3"/>
        <w:spacing w:before="4"/>
        <w:rPr>
          <w:sz w:val="16"/>
        </w:rPr>
      </w:pPr>
    </w:p>
    <w:p w14:paraId="572B52FC" w14:textId="77777777" w:rsidR="001F5B07" w:rsidRDefault="000A05EA">
      <w:pPr>
        <w:pStyle w:val="a3"/>
        <w:spacing w:line="360" w:lineRule="auto"/>
        <w:ind w:left="160" w:right="1904" w:hanging="1"/>
      </w:pPr>
      <w:r>
        <w:t>AYANWALE., A. B. (2007). FDI and economic growth evidence from Nigeria. Nairobi, African economic research consortium (AERC).</w:t>
      </w:r>
    </w:p>
    <w:p w14:paraId="341B6510" w14:textId="77777777" w:rsidR="001F5B07" w:rsidRDefault="001F5B07">
      <w:pPr>
        <w:pStyle w:val="a3"/>
        <w:spacing w:before="4"/>
        <w:rPr>
          <w:sz w:val="16"/>
        </w:rPr>
      </w:pPr>
    </w:p>
    <w:p w14:paraId="1A00F6A6" w14:textId="77777777" w:rsidR="001F5B07" w:rsidRDefault="000A05EA">
      <w:pPr>
        <w:pStyle w:val="a3"/>
        <w:spacing w:line="360" w:lineRule="auto"/>
        <w:ind w:left="160" w:right="1461" w:hanging="1"/>
      </w:pPr>
      <w:proofErr w:type="spellStart"/>
      <w:r>
        <w:t>Basu</w:t>
      </w:r>
      <w:proofErr w:type="spellEnd"/>
      <w:r>
        <w:t>, A. and Srinivasan, K. (2002), “Foreign Direct Investment in Africa: Some Case Studies”, IMF Working Paper 02/61, IMF, Washington, DC.</w:t>
      </w:r>
    </w:p>
    <w:p w14:paraId="3202FDFF" w14:textId="77777777" w:rsidR="001F5B07" w:rsidRDefault="001F5B07">
      <w:pPr>
        <w:pStyle w:val="a3"/>
        <w:spacing w:before="4"/>
        <w:rPr>
          <w:sz w:val="16"/>
        </w:rPr>
      </w:pPr>
    </w:p>
    <w:p w14:paraId="37D6E240" w14:textId="77777777" w:rsidR="001F5B07" w:rsidRDefault="000A05EA">
      <w:pPr>
        <w:pStyle w:val="a3"/>
        <w:spacing w:line="360" w:lineRule="auto"/>
        <w:ind w:left="160" w:right="1272" w:hanging="1"/>
      </w:pPr>
      <w:r>
        <w:t xml:space="preserve">BENNETT, D. (1997). Managing foreign exchange risk how to identify and manage foreign currency exposure. </w:t>
      </w:r>
      <w:proofErr w:type="spellStart"/>
      <w:r>
        <w:t>Londres</w:t>
      </w:r>
      <w:proofErr w:type="spellEnd"/>
      <w:r>
        <w:t>, Pearson education limited. Bryman, A. and Bell, E. (2011) Business Research Methods (3rd edition), Chapter 1, 24 and 25</w:t>
      </w:r>
    </w:p>
    <w:p w14:paraId="49B27715" w14:textId="77777777" w:rsidR="001F5B07" w:rsidRDefault="001F5B07">
      <w:pPr>
        <w:pStyle w:val="a3"/>
        <w:spacing w:before="4"/>
        <w:rPr>
          <w:sz w:val="16"/>
        </w:rPr>
      </w:pPr>
    </w:p>
    <w:p w14:paraId="5E8F458E" w14:textId="77777777" w:rsidR="001F5B07" w:rsidRDefault="000A05EA">
      <w:pPr>
        <w:pStyle w:val="a3"/>
        <w:spacing w:line="360" w:lineRule="auto"/>
        <w:ind w:left="160" w:right="1300" w:hanging="1"/>
      </w:pPr>
      <w:r>
        <w:t xml:space="preserve">BLONIGEN, B. A. (2005). A review of the empirical literature on FDI determinants. Cambridge, MA, National Bureau of Economic Research. </w:t>
      </w:r>
      <w:hyperlink r:id="rId14">
        <w:r>
          <w:t>http://papers.nber.org/papers/w11299</w:t>
        </w:r>
      </w:hyperlink>
    </w:p>
    <w:p w14:paraId="396C4C20" w14:textId="77777777" w:rsidR="001F5B07" w:rsidRDefault="001F5B07">
      <w:pPr>
        <w:pStyle w:val="a3"/>
        <w:spacing w:before="4"/>
        <w:rPr>
          <w:sz w:val="16"/>
        </w:rPr>
      </w:pPr>
    </w:p>
    <w:p w14:paraId="0AB144EA" w14:textId="77777777" w:rsidR="001F5B07" w:rsidRDefault="000A05EA">
      <w:pPr>
        <w:pStyle w:val="a3"/>
        <w:spacing w:line="360" w:lineRule="auto"/>
        <w:ind w:left="160" w:right="1677" w:hanging="1"/>
      </w:pPr>
      <w:proofErr w:type="spellStart"/>
      <w:r>
        <w:t>Bryne</w:t>
      </w:r>
      <w:proofErr w:type="spellEnd"/>
      <w:r>
        <w:t>, J. and P. Davis (2003) “Panel Estimation of the Impact of Exchange Rate Uncertainty on Investment in the Major Industrialized Countries”, NISER Discussion Paper, No. 208.</w:t>
      </w:r>
    </w:p>
    <w:p w14:paraId="4DAD7DF4" w14:textId="77777777" w:rsidR="001F5B07" w:rsidRDefault="001F5B07">
      <w:pPr>
        <w:pStyle w:val="a3"/>
        <w:spacing w:before="4"/>
        <w:rPr>
          <w:sz w:val="16"/>
        </w:rPr>
      </w:pPr>
    </w:p>
    <w:p w14:paraId="13C5D548" w14:textId="77777777" w:rsidR="001F5B07" w:rsidRDefault="000A05EA">
      <w:pPr>
        <w:pStyle w:val="a3"/>
        <w:spacing w:line="360" w:lineRule="auto"/>
        <w:ind w:left="159" w:right="1368"/>
      </w:pPr>
      <w:r>
        <w:t xml:space="preserve">Calvo, G. A., L. </w:t>
      </w:r>
      <w:proofErr w:type="spellStart"/>
      <w:r>
        <w:t>Leiderman</w:t>
      </w:r>
      <w:proofErr w:type="spellEnd"/>
      <w:r>
        <w:t xml:space="preserve"> and C.M. Reinhart (1993) “Inflows of Capital to Developing Countries in the 1990s”, The Journal of Economic Perspectives, vol. 10, No. 2 (Spring)</w:t>
      </w:r>
    </w:p>
    <w:p w14:paraId="2793E441" w14:textId="77777777" w:rsidR="001F5B07" w:rsidRDefault="001F5B07">
      <w:pPr>
        <w:pStyle w:val="a3"/>
        <w:spacing w:before="4"/>
        <w:rPr>
          <w:sz w:val="16"/>
        </w:rPr>
      </w:pPr>
    </w:p>
    <w:p w14:paraId="6FA854D2" w14:textId="77777777" w:rsidR="001F5B07" w:rsidRDefault="000A05EA">
      <w:pPr>
        <w:pStyle w:val="a3"/>
        <w:spacing w:line="360" w:lineRule="auto"/>
        <w:ind w:left="160" w:right="2167" w:hanging="1"/>
      </w:pPr>
      <w:r>
        <w:t xml:space="preserve">Central Bank of Nigeria (2001) Annual report and Statement of Accounts. Abuja, Nigeria. </w:t>
      </w:r>
      <w:hyperlink r:id="rId15">
        <w:r>
          <w:rPr>
            <w:color w:val="0000FF"/>
            <w:u w:val="single" w:color="0000FF"/>
          </w:rPr>
          <w:t>www.cenbank.org</w:t>
        </w:r>
      </w:hyperlink>
    </w:p>
    <w:p w14:paraId="27CAF9DF" w14:textId="77777777" w:rsidR="001F5B07" w:rsidRDefault="001F5B07">
      <w:pPr>
        <w:spacing w:line="360" w:lineRule="auto"/>
        <w:sectPr w:rsidR="001F5B07">
          <w:headerReference w:type="default" r:id="rId16"/>
          <w:footerReference w:type="default" r:id="rId17"/>
          <w:pgSz w:w="11910" w:h="16840"/>
          <w:pgMar w:top="1180" w:right="400" w:bottom="1280" w:left="1280" w:header="384" w:footer="1098" w:gutter="0"/>
          <w:pgNumType w:start="13"/>
          <w:cols w:space="720"/>
        </w:sectPr>
      </w:pPr>
    </w:p>
    <w:p w14:paraId="30E0A3F9" w14:textId="77777777" w:rsidR="001F5B07" w:rsidRDefault="001F5B07">
      <w:pPr>
        <w:pStyle w:val="a3"/>
        <w:spacing w:before="1"/>
        <w:rPr>
          <w:sz w:val="16"/>
        </w:rPr>
      </w:pPr>
    </w:p>
    <w:p w14:paraId="34FF57A2" w14:textId="77777777" w:rsidR="001F5B07" w:rsidRDefault="000A05EA">
      <w:pPr>
        <w:pStyle w:val="a3"/>
        <w:spacing w:before="56" w:line="360" w:lineRule="auto"/>
        <w:ind w:left="160" w:right="1878" w:hanging="1"/>
      </w:pPr>
      <w:r>
        <w:t>Fernandez‐Arias, E. (1994) “The New Wave of Private Inflows: Push or Pull?”, The Journal of Development Economics, vol. 48, 383‐418</w:t>
      </w:r>
    </w:p>
    <w:p w14:paraId="42D1A2F7" w14:textId="77777777" w:rsidR="001F5B07" w:rsidRDefault="001F5B07">
      <w:pPr>
        <w:pStyle w:val="a3"/>
        <w:spacing w:before="4"/>
        <w:rPr>
          <w:sz w:val="16"/>
        </w:rPr>
      </w:pPr>
    </w:p>
    <w:p w14:paraId="7F65B1A6" w14:textId="77777777" w:rsidR="001F5B07" w:rsidRDefault="000A05EA">
      <w:pPr>
        <w:pStyle w:val="a3"/>
        <w:spacing w:line="360" w:lineRule="auto"/>
        <w:ind w:left="160" w:right="1661" w:hanging="1"/>
      </w:pPr>
      <w:r>
        <w:t>FLEMING, J. and KIRBY, C., 2003. A Closer Look at the Relation between GARCH and Stochastic Autoregressive Volatility. Journal of Financial Econometrics, 1(3), pp. 365‐365.</w:t>
      </w:r>
    </w:p>
    <w:p w14:paraId="7B5D17ED" w14:textId="77777777" w:rsidR="001F5B07" w:rsidRDefault="001F5B07">
      <w:pPr>
        <w:pStyle w:val="a3"/>
        <w:spacing w:before="4"/>
        <w:rPr>
          <w:sz w:val="16"/>
        </w:rPr>
      </w:pPr>
    </w:p>
    <w:p w14:paraId="3D6BCB38" w14:textId="77777777" w:rsidR="001F5B07" w:rsidRDefault="000A05EA">
      <w:pPr>
        <w:pStyle w:val="a3"/>
        <w:spacing w:line="360" w:lineRule="auto"/>
        <w:ind w:left="160" w:right="1195" w:hanging="1"/>
      </w:pPr>
      <w:r>
        <w:t xml:space="preserve">HONG, C. S., KARNI, E., &amp; SAFRA, Z. (1985). Risk aversion in the theory of expected utility with rank‐ dependent probabilities. Tel Aviv, </w:t>
      </w:r>
      <w:proofErr w:type="spellStart"/>
      <w:r>
        <w:t>Foerder</w:t>
      </w:r>
      <w:proofErr w:type="spellEnd"/>
      <w:r>
        <w:t xml:space="preserve"> Institute for Economic Research, Faculty of Social Sciences, Tel Aviv University.</w:t>
      </w:r>
    </w:p>
    <w:p w14:paraId="6B600160" w14:textId="77777777" w:rsidR="001F5B07" w:rsidRDefault="001F5B07">
      <w:pPr>
        <w:pStyle w:val="a3"/>
        <w:spacing w:before="5"/>
        <w:rPr>
          <w:sz w:val="16"/>
        </w:rPr>
      </w:pPr>
    </w:p>
    <w:p w14:paraId="5D21BE81" w14:textId="77777777" w:rsidR="001F5B07" w:rsidRDefault="000A05EA">
      <w:pPr>
        <w:pStyle w:val="a3"/>
        <w:spacing w:line="360" w:lineRule="auto"/>
        <w:ind w:left="160" w:right="1159" w:hanging="1"/>
      </w:pPr>
      <w:r>
        <w:t>KALU, K.A., 2010. Nigeria: Learning from the Past to Meet the Challenges of the 21st Century. Social Research, 77(4), pp. 1367‐0_3.</w:t>
      </w:r>
    </w:p>
    <w:p w14:paraId="729633CD" w14:textId="77777777" w:rsidR="001F5B07" w:rsidRDefault="001F5B07">
      <w:pPr>
        <w:pStyle w:val="a3"/>
        <w:spacing w:before="4"/>
        <w:rPr>
          <w:sz w:val="16"/>
        </w:rPr>
      </w:pPr>
    </w:p>
    <w:p w14:paraId="074E309E" w14:textId="77777777" w:rsidR="001F5B07" w:rsidRDefault="000A05EA">
      <w:pPr>
        <w:pStyle w:val="a3"/>
        <w:spacing w:line="360" w:lineRule="auto"/>
        <w:ind w:left="160" w:right="1287" w:hanging="1"/>
      </w:pPr>
      <w:r>
        <w:t>KYEREBOAH‐COLEMAN, A., &amp; AGYIRE‐TETTEY, K. F. (2008). Effect of exchange‐rate volatility on foreign direct investment in Sub‐Saharan Africa: The case of Ghana. The Journal of Risk Finance. 9, 52‐70.</w:t>
      </w:r>
    </w:p>
    <w:p w14:paraId="5DABDBAA" w14:textId="77777777" w:rsidR="001F5B07" w:rsidRDefault="001F5B07">
      <w:pPr>
        <w:pStyle w:val="a3"/>
        <w:spacing w:before="5"/>
        <w:rPr>
          <w:sz w:val="16"/>
        </w:rPr>
      </w:pPr>
    </w:p>
    <w:p w14:paraId="2516E06D" w14:textId="77777777" w:rsidR="001F5B07" w:rsidRDefault="000A05EA">
      <w:pPr>
        <w:pStyle w:val="a3"/>
        <w:spacing w:line="360" w:lineRule="auto"/>
        <w:ind w:left="160" w:right="1370" w:hanging="1"/>
      </w:pPr>
      <w:proofErr w:type="spellStart"/>
      <w:r>
        <w:t>Markusen</w:t>
      </w:r>
      <w:proofErr w:type="spellEnd"/>
      <w:r>
        <w:t xml:space="preserve">, J. R., J. R. Melvin, W. H. </w:t>
      </w:r>
      <w:proofErr w:type="spellStart"/>
      <w:r>
        <w:t>Kaempfer</w:t>
      </w:r>
      <w:proofErr w:type="spellEnd"/>
      <w:r>
        <w:t xml:space="preserve"> and K. E. </w:t>
      </w:r>
      <w:proofErr w:type="spellStart"/>
      <w:r>
        <w:t>Maskus</w:t>
      </w:r>
      <w:proofErr w:type="spellEnd"/>
      <w:r>
        <w:t xml:space="preserve"> (1995) International Trade: Theory and Evidence (Boston: McGraw‐Hill).</w:t>
      </w:r>
    </w:p>
    <w:p w14:paraId="79AC7D00" w14:textId="77777777" w:rsidR="001F5B07" w:rsidRDefault="001F5B07">
      <w:pPr>
        <w:pStyle w:val="a3"/>
        <w:spacing w:before="5"/>
        <w:rPr>
          <w:sz w:val="16"/>
        </w:rPr>
      </w:pPr>
    </w:p>
    <w:p w14:paraId="69446D2C" w14:textId="77777777" w:rsidR="001F5B07" w:rsidRDefault="000A05EA">
      <w:pPr>
        <w:pStyle w:val="a3"/>
        <w:spacing w:line="360" w:lineRule="auto"/>
        <w:ind w:left="159" w:right="1544"/>
      </w:pPr>
      <w:r>
        <w:t>MCMILLAN, K., &amp; WEYERS, J. D. B. (2007). How to write dissertations &amp; project reports. Harlow, Pearson Prentice Hall.</w:t>
      </w:r>
    </w:p>
    <w:p w14:paraId="011D1AB6" w14:textId="77777777" w:rsidR="001F5B07" w:rsidRDefault="001F5B07">
      <w:pPr>
        <w:pStyle w:val="a3"/>
        <w:spacing w:before="5"/>
        <w:rPr>
          <w:sz w:val="16"/>
        </w:rPr>
      </w:pPr>
    </w:p>
    <w:p w14:paraId="549676E8" w14:textId="77777777" w:rsidR="001F5B07" w:rsidRDefault="000A05EA">
      <w:pPr>
        <w:pStyle w:val="a3"/>
        <w:spacing w:line="360" w:lineRule="auto"/>
        <w:ind w:left="159" w:right="1444"/>
      </w:pPr>
      <w:r>
        <w:t>MENEZES, C. F., &amp; HANSON, D. L. (1970). On the Theory of Risk Aversion. International Economic Review. 11, 481‐487.</w:t>
      </w:r>
    </w:p>
    <w:p w14:paraId="2B5C845D" w14:textId="77777777" w:rsidR="001F5B07" w:rsidRDefault="001F5B07">
      <w:pPr>
        <w:pStyle w:val="a3"/>
        <w:spacing w:before="5"/>
        <w:rPr>
          <w:sz w:val="16"/>
        </w:rPr>
      </w:pPr>
    </w:p>
    <w:p w14:paraId="174EC02D" w14:textId="77777777" w:rsidR="001F5B07" w:rsidRDefault="000A05EA">
      <w:pPr>
        <w:pStyle w:val="a3"/>
        <w:spacing w:line="360" w:lineRule="auto"/>
        <w:ind w:left="160" w:right="1348" w:hanging="1"/>
      </w:pPr>
      <w:r>
        <w:t>MORRISON, J. (2006). The international business environment: Global and local marketplaces in a changing world. Basingstoke, Palgrave Macmillan</w:t>
      </w:r>
    </w:p>
    <w:p w14:paraId="432F3066" w14:textId="77777777" w:rsidR="001F5B07" w:rsidRDefault="001F5B07">
      <w:pPr>
        <w:pStyle w:val="a3"/>
        <w:spacing w:before="4"/>
        <w:rPr>
          <w:sz w:val="16"/>
        </w:rPr>
      </w:pPr>
    </w:p>
    <w:p w14:paraId="04609FC9" w14:textId="77777777" w:rsidR="001F5B07" w:rsidRDefault="000A05EA">
      <w:pPr>
        <w:pStyle w:val="a3"/>
        <w:spacing w:line="360" w:lineRule="auto"/>
        <w:ind w:left="160" w:right="1108" w:hanging="1"/>
      </w:pPr>
      <w:r>
        <w:t>NYARKO, P.A., NKETIAH‐AMPONSAH, E. and BARNOR, C., 2011. Effects of Exchange Rate Regimes on FDI Inflows in Ghana. International Journal of Economics and Finance, 3(3), pp. 277‐286.</w:t>
      </w:r>
    </w:p>
    <w:p w14:paraId="09DE969F" w14:textId="77777777" w:rsidR="001F5B07" w:rsidRDefault="001F5B07">
      <w:pPr>
        <w:pStyle w:val="a3"/>
        <w:spacing w:before="4"/>
        <w:rPr>
          <w:sz w:val="16"/>
        </w:rPr>
      </w:pPr>
    </w:p>
    <w:p w14:paraId="3B4518DF" w14:textId="77777777" w:rsidR="001F5B07" w:rsidRDefault="000A05EA">
      <w:pPr>
        <w:pStyle w:val="a3"/>
        <w:spacing w:line="360" w:lineRule="auto"/>
        <w:ind w:left="160" w:right="1062" w:hanging="1"/>
      </w:pPr>
      <w:proofErr w:type="spellStart"/>
      <w:r>
        <w:t>Nwillima</w:t>
      </w:r>
      <w:proofErr w:type="spellEnd"/>
      <w:r>
        <w:t xml:space="preserve"> N. (2008); “Characteristics, Extent and Impact of Foreign Direct Investment on African Local Economic Development”. Social Science Research Network Electronic Paper Collection. </w:t>
      </w:r>
      <w:hyperlink r:id="rId18">
        <w:r>
          <w:t>http://ssrn.com.</w:t>
        </w:r>
      </w:hyperlink>
    </w:p>
    <w:p w14:paraId="64D7E4F2" w14:textId="77777777" w:rsidR="001F5B07" w:rsidRDefault="001F5B07">
      <w:pPr>
        <w:pStyle w:val="a3"/>
        <w:spacing w:before="5"/>
        <w:rPr>
          <w:sz w:val="16"/>
        </w:rPr>
      </w:pPr>
    </w:p>
    <w:p w14:paraId="4977121F" w14:textId="77777777" w:rsidR="001F5B07" w:rsidRDefault="000A05EA">
      <w:pPr>
        <w:pStyle w:val="a3"/>
        <w:spacing w:line="360" w:lineRule="auto"/>
        <w:ind w:left="159" w:right="1144"/>
      </w:pPr>
      <w:r>
        <w:t>Mimiko, N.O., (1995), From Reform to Neo‐Regulation: An Assessment of Recent Political/Economic Developments in Nigeria. 1995. The International Executive (1986‐1998), 37(5), pp. 513‐513.</w:t>
      </w:r>
    </w:p>
    <w:p w14:paraId="77FF12EA" w14:textId="77777777" w:rsidR="001F5B07" w:rsidRDefault="001F5B07">
      <w:pPr>
        <w:pStyle w:val="a3"/>
        <w:spacing w:before="5"/>
        <w:rPr>
          <w:sz w:val="16"/>
        </w:rPr>
      </w:pPr>
    </w:p>
    <w:p w14:paraId="0F858B2E" w14:textId="77777777" w:rsidR="001F5B07" w:rsidRDefault="000A05EA">
      <w:pPr>
        <w:pStyle w:val="a3"/>
        <w:spacing w:line="360" w:lineRule="auto"/>
        <w:ind w:left="160" w:right="1176" w:hanging="1"/>
      </w:pPr>
      <w:r>
        <w:t>OSINUBI T.S., &amp; AMAGHIONYEODIWE L.A. (2010). Foreign private investment and economic growth in Nigeria. Applied Econometrics and International Development. 10, 189‐204</w:t>
      </w:r>
    </w:p>
    <w:p w14:paraId="1139140B" w14:textId="77777777" w:rsidR="001F5B07" w:rsidRDefault="001F5B07">
      <w:pPr>
        <w:spacing w:line="360" w:lineRule="auto"/>
        <w:sectPr w:rsidR="001F5B07">
          <w:pgSz w:w="11910" w:h="16840"/>
          <w:pgMar w:top="1180" w:right="400" w:bottom="1280" w:left="1280" w:header="384" w:footer="1098" w:gutter="0"/>
          <w:cols w:space="720"/>
        </w:sectPr>
      </w:pPr>
    </w:p>
    <w:p w14:paraId="55C2A38A" w14:textId="77777777" w:rsidR="001F5B07" w:rsidRDefault="001F5B07">
      <w:pPr>
        <w:pStyle w:val="a3"/>
        <w:spacing w:before="1"/>
        <w:rPr>
          <w:sz w:val="16"/>
        </w:rPr>
      </w:pPr>
    </w:p>
    <w:p w14:paraId="2708D228" w14:textId="77777777" w:rsidR="001F5B07" w:rsidRDefault="000A05EA">
      <w:pPr>
        <w:pStyle w:val="a3"/>
        <w:spacing w:before="56"/>
        <w:ind w:left="160"/>
      </w:pPr>
      <w:r>
        <w:t>OSINUBI T.S., &amp; AMAGHIONYEODIWE L.A. (2009). FOREIGN DIRECT INVESTMENT AND EXCHANGE</w:t>
      </w:r>
    </w:p>
    <w:p w14:paraId="18730706" w14:textId="77777777" w:rsidR="001F5B07" w:rsidRDefault="000A05EA">
      <w:pPr>
        <w:pStyle w:val="a3"/>
        <w:spacing w:before="134" w:line="360" w:lineRule="auto"/>
        <w:ind w:left="160" w:right="1726" w:hanging="1"/>
      </w:pPr>
      <w:r>
        <w:t>RATE VOLATILITY IN NIGERIA. International Journal of Applied Econometrics and Quantitative Studies V6‐2</w:t>
      </w:r>
    </w:p>
    <w:p w14:paraId="0FE13764" w14:textId="77777777" w:rsidR="001F5B07" w:rsidRDefault="001F5B07">
      <w:pPr>
        <w:pStyle w:val="a3"/>
        <w:spacing w:before="5"/>
        <w:rPr>
          <w:sz w:val="16"/>
        </w:rPr>
      </w:pPr>
    </w:p>
    <w:p w14:paraId="4E16B25F" w14:textId="77777777" w:rsidR="001F5B07" w:rsidRDefault="000A05EA">
      <w:pPr>
        <w:pStyle w:val="a3"/>
        <w:spacing w:line="360" w:lineRule="auto"/>
        <w:ind w:left="160" w:right="1413" w:hanging="1"/>
      </w:pPr>
      <w:r>
        <w:t xml:space="preserve">Saunders, M., Lewis, P. and Thornhill, A. (2009) </w:t>
      </w:r>
      <w:proofErr w:type="spellStart"/>
      <w:r>
        <w:t>Reseach</w:t>
      </w:r>
      <w:proofErr w:type="spellEnd"/>
      <w:r>
        <w:t xml:space="preserve"> Methods for Business Students. Pearson Education Ltd. Essex.</w:t>
      </w:r>
    </w:p>
    <w:p w14:paraId="57C5C572" w14:textId="77777777" w:rsidR="001F5B07" w:rsidRDefault="001F5B07">
      <w:pPr>
        <w:pStyle w:val="a3"/>
        <w:spacing w:before="5"/>
        <w:rPr>
          <w:sz w:val="16"/>
        </w:rPr>
      </w:pPr>
    </w:p>
    <w:p w14:paraId="59348592" w14:textId="77777777" w:rsidR="001F5B07" w:rsidRDefault="000A05EA">
      <w:pPr>
        <w:pStyle w:val="a3"/>
        <w:spacing w:line="360" w:lineRule="auto"/>
        <w:ind w:left="160" w:right="1278" w:hanging="1"/>
      </w:pPr>
      <w:r>
        <w:t xml:space="preserve">UDOH, E., &amp; EGWAIKHIDE, F.O., (2010). Exchange Rate Volatility, Inflation Uncertainty and Foreign Direct Investment in Nigeria. Botswana Journal of Economics; Vol 5, No 7 (2008); 14‐31. The Botswana Economics Association. </w:t>
      </w:r>
      <w:hyperlink r:id="rId19">
        <w:r>
          <w:t>http://ajol.info/index.php/boje/article/view/60304.</w:t>
        </w:r>
      </w:hyperlink>
    </w:p>
    <w:p w14:paraId="4EF5261A" w14:textId="77777777" w:rsidR="001F5B07" w:rsidRDefault="001F5B07">
      <w:pPr>
        <w:pStyle w:val="a3"/>
        <w:spacing w:before="5"/>
        <w:rPr>
          <w:sz w:val="16"/>
        </w:rPr>
      </w:pPr>
    </w:p>
    <w:p w14:paraId="72E87298" w14:textId="77777777" w:rsidR="001F5B07" w:rsidRDefault="000A05EA" w:rsidP="00D92E76">
      <w:pPr>
        <w:pStyle w:val="a3"/>
        <w:spacing w:line="360" w:lineRule="auto"/>
        <w:ind w:left="160" w:right="1047" w:hanging="1"/>
      </w:pPr>
      <w:r>
        <w:t>XIONG, R.S., 2005. Impact of exchange rates uncertainty on foreign direct investment, The University of Wisconsin ‐ Milwaukee</w:t>
      </w:r>
    </w:p>
    <w:p w14:paraId="2B06E5F7" w14:textId="77777777" w:rsidR="001F5B07" w:rsidRDefault="001F5B07" w:rsidP="00D92E76">
      <w:pPr>
        <w:pStyle w:val="a3"/>
        <w:rPr>
          <w:sz w:val="20"/>
        </w:rPr>
      </w:pPr>
    </w:p>
    <w:sectPr w:rsidR="001F5B07">
      <w:pgSz w:w="11910" w:h="16840"/>
      <w:pgMar w:top="1180" w:right="400" w:bottom="1280" w:left="1280" w:header="384" w:footer="10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B24A8" w14:textId="77777777" w:rsidR="00B138C9" w:rsidRDefault="00B138C9">
      <w:r>
        <w:separator/>
      </w:r>
    </w:p>
  </w:endnote>
  <w:endnote w:type="continuationSeparator" w:id="0">
    <w:p w14:paraId="795D5FF0" w14:textId="77777777" w:rsidR="00B138C9" w:rsidRDefault="00B1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C2705" w14:textId="77777777" w:rsidR="001F5B07" w:rsidRDefault="00B138C9">
    <w:pPr>
      <w:pStyle w:val="a3"/>
      <w:spacing w:line="14" w:lineRule="auto"/>
      <w:rPr>
        <w:sz w:val="20"/>
      </w:rPr>
    </w:pPr>
    <w:r>
      <w:pict w14:anchorId="58C25992">
        <v:line id="_x0000_s2072" style="position:absolute;z-index:-37696;mso-position-horizontal-relative:page;mso-position-vertical-relative:page" from="70.5pt,778.2pt" to="524.8pt,778.2pt" strokecolor="#622423" strokeweight=".72pt">
          <w10:wrap anchorx="page" anchory="page"/>
        </v:line>
      </w:pict>
    </w:r>
    <w:r>
      <w:pict w14:anchorId="32F32AB4">
        <v:line id="_x0000_s2071" style="position:absolute;z-index:-37672;mso-position-horizontal-relative:page;mso-position-vertical-relative:page" from="70.5pt,775.6pt" to="524.8pt,775.6pt" strokecolor="#622423" strokeweight="3pt">
          <w10:wrap anchorx="page" anchory="page"/>
        </v:line>
      </w:pict>
    </w:r>
    <w:r>
      <w:pict w14:anchorId="35BA0E1D">
        <v:shapetype id="_x0000_t202" coordsize="21600,21600" o:spt="202" path="m,l,21600r21600,l21600,xe">
          <v:stroke joinstyle="miter"/>
          <v:path gradientshapeok="t" o:connecttype="rect"/>
        </v:shapetype>
        <v:shape id="_x0000_s2070" type="#_x0000_t202" style="position:absolute;margin-left:492.75pt;margin-top:780.85pt;width:32.6pt;height:13pt;z-index:-37648;mso-position-horizontal-relative:page;mso-position-vertical-relative:page" filled="f" stroked="f">
          <v:textbox inset="0,0,0,0">
            <w:txbxContent>
              <w:p w14:paraId="3CFD8239" w14:textId="77777777" w:rsidR="001F5B07" w:rsidRDefault="000A05EA">
                <w:pPr>
                  <w:pStyle w:val="a3"/>
                  <w:spacing w:line="244" w:lineRule="exact"/>
                  <w:ind w:left="20"/>
                </w:pPr>
                <w:r>
                  <w:t xml:space="preserve">Page </w:t>
                </w:r>
                <w:r>
                  <w:fldChar w:fldCharType="begin"/>
                </w:r>
                <w:r>
                  <w:instrText xml:space="preserve"> PAGE </w:instrText>
                </w:r>
                <w:r>
                  <w:fldChar w:fldCharType="separate"/>
                </w:r>
                <w: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BA5B6" w14:textId="77777777" w:rsidR="001F5B07" w:rsidRDefault="00B138C9">
    <w:pPr>
      <w:pStyle w:val="a3"/>
      <w:spacing w:line="14" w:lineRule="auto"/>
      <w:rPr>
        <w:sz w:val="20"/>
      </w:rPr>
    </w:pPr>
    <w:r>
      <w:pict w14:anchorId="3DBC3664">
        <v:line id="_x0000_s2069" style="position:absolute;z-index:-37624;mso-position-horizontal-relative:page;mso-position-vertical-relative:page" from="70.5pt,778.2pt" to="524.8pt,778.2pt" strokecolor="#622423" strokeweight=".72pt">
          <w10:wrap anchorx="page" anchory="page"/>
        </v:line>
      </w:pict>
    </w:r>
    <w:r>
      <w:pict w14:anchorId="787F7B95">
        <v:line id="_x0000_s2068" style="position:absolute;z-index:-37600;mso-position-horizontal-relative:page;mso-position-vertical-relative:page" from="70.5pt,775.6pt" to="524.8pt,775.6pt" strokecolor="#622423" strokeweight="3pt">
          <w10:wrap anchorx="page" anchory="page"/>
        </v:line>
      </w:pict>
    </w:r>
    <w:r>
      <w:pict w14:anchorId="4DB4FA7D">
        <v:shapetype id="_x0000_t202" coordsize="21600,21600" o:spt="202" path="m,l,21600r21600,l21600,xe">
          <v:stroke joinstyle="miter"/>
          <v:path gradientshapeok="t" o:connecttype="rect"/>
        </v:shapetype>
        <v:shape id="_x0000_s2067" type="#_x0000_t202" style="position:absolute;margin-left:487.15pt;margin-top:780.85pt;width:37.2pt;height:13pt;z-index:-37576;mso-position-horizontal-relative:page;mso-position-vertical-relative:page" filled="f" stroked="f">
          <v:textbox inset="0,0,0,0">
            <w:txbxContent>
              <w:p w14:paraId="26BEC9D0" w14:textId="77777777" w:rsidR="001F5B07" w:rsidRDefault="000A05EA">
                <w:pPr>
                  <w:pStyle w:val="a3"/>
                  <w:spacing w:line="244" w:lineRule="exact"/>
                  <w:ind w:left="20"/>
                </w:pPr>
                <w:r>
                  <w:t>Page 10</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F4513" w14:textId="77777777" w:rsidR="001F5B07" w:rsidRDefault="00B138C9">
    <w:pPr>
      <w:pStyle w:val="a3"/>
      <w:spacing w:line="14" w:lineRule="auto"/>
      <w:rPr>
        <w:sz w:val="20"/>
      </w:rPr>
    </w:pPr>
    <w:r>
      <w:pict w14:anchorId="32FA74E3">
        <v:line id="_x0000_s2066" style="position:absolute;z-index:-37552;mso-position-horizontal-relative:page;mso-position-vertical-relative:page" from="70.5pt,778.2pt" to="524.8pt,778.2pt" strokecolor="#622423" strokeweight=".72pt">
          <w10:wrap anchorx="page" anchory="page"/>
        </v:line>
      </w:pict>
    </w:r>
    <w:r>
      <w:pict w14:anchorId="4D62FC62">
        <v:line id="_x0000_s2065" style="position:absolute;z-index:-37528;mso-position-horizontal-relative:page;mso-position-vertical-relative:page" from="70.5pt,775.6pt" to="524.8pt,775.6pt" strokecolor="#622423" strokeweight="3pt">
          <w10:wrap anchorx="page" anchory="page"/>
        </v:line>
      </w:pict>
    </w:r>
    <w:r>
      <w:pict w14:anchorId="69792639">
        <v:shapetype id="_x0000_t202" coordsize="21600,21600" o:spt="202" path="m,l,21600r21600,l21600,xe">
          <v:stroke joinstyle="miter"/>
          <v:path gradientshapeok="t" o:connecttype="rect"/>
        </v:shapetype>
        <v:shape id="_x0000_s2064" type="#_x0000_t202" style="position:absolute;margin-left:487.15pt;margin-top:780.85pt;width:37.2pt;height:13pt;z-index:-37504;mso-position-horizontal-relative:page;mso-position-vertical-relative:page" filled="f" stroked="f">
          <v:textbox inset="0,0,0,0">
            <w:txbxContent>
              <w:p w14:paraId="3C264FD6" w14:textId="77777777" w:rsidR="001F5B07" w:rsidRDefault="000A05EA">
                <w:pPr>
                  <w:pStyle w:val="a3"/>
                  <w:spacing w:line="244" w:lineRule="exact"/>
                  <w:ind w:left="20"/>
                </w:pPr>
                <w:r>
                  <w:t>Page 11</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12BB1" w14:textId="77777777" w:rsidR="001F5B07" w:rsidRDefault="001F5B07">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5DCCF" w14:textId="77777777" w:rsidR="001F5B07" w:rsidRDefault="00B138C9">
    <w:pPr>
      <w:pStyle w:val="a3"/>
      <w:spacing w:line="14" w:lineRule="auto"/>
      <w:rPr>
        <w:sz w:val="20"/>
      </w:rPr>
    </w:pPr>
    <w:r>
      <w:pict w14:anchorId="59341C3A">
        <v:line id="_x0000_s2063" style="position:absolute;z-index:-37456;mso-position-horizontal-relative:page;mso-position-vertical-relative:page" from="70.5pt,778.2pt" to="524.8pt,778.2pt" strokecolor="#622423" strokeweight=".72pt">
          <w10:wrap anchorx="page" anchory="page"/>
        </v:line>
      </w:pict>
    </w:r>
    <w:r>
      <w:pict w14:anchorId="3F2BB99B">
        <v:line id="_x0000_s2062" style="position:absolute;z-index:-37432;mso-position-horizontal-relative:page;mso-position-vertical-relative:page" from="70.5pt,775.6pt" to="524.8pt,775.6pt" strokecolor="#622423" strokeweight="3pt">
          <w10:wrap anchorx="page" anchory="page"/>
        </v:line>
      </w:pict>
    </w:r>
    <w:r>
      <w:pict w14:anchorId="0B7C55AA">
        <v:shapetype id="_x0000_t202" coordsize="21600,21600" o:spt="202" path="m,l,21600r21600,l21600,xe">
          <v:stroke joinstyle="miter"/>
          <v:path gradientshapeok="t" o:connecttype="rect"/>
        </v:shapetype>
        <v:shape id="_x0000_s2061" type="#_x0000_t202" style="position:absolute;margin-left:487.15pt;margin-top:780.85pt;width:38.2pt;height:13pt;z-index:-37408;mso-position-horizontal-relative:page;mso-position-vertical-relative:page" filled="f" stroked="f">
          <v:textbox inset="0,0,0,0">
            <w:txbxContent>
              <w:p w14:paraId="19A38FD8" w14:textId="77777777" w:rsidR="001F5B07" w:rsidRDefault="000A05EA">
                <w:pPr>
                  <w:pStyle w:val="a3"/>
                  <w:spacing w:line="244" w:lineRule="exact"/>
                  <w:ind w:left="20"/>
                </w:pPr>
                <w:r>
                  <w:t xml:space="preserve">Page </w:t>
                </w:r>
                <w:r>
                  <w:fldChar w:fldCharType="begin"/>
                </w:r>
                <w:r>
                  <w:instrText xml:space="preserve"> PAGE </w:instrText>
                </w:r>
                <w:r>
                  <w:fldChar w:fldCharType="separate"/>
                </w:r>
                <w:r>
                  <w:t>13</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076727" w14:textId="77777777" w:rsidR="00B138C9" w:rsidRDefault="00B138C9">
      <w:r>
        <w:separator/>
      </w:r>
    </w:p>
  </w:footnote>
  <w:footnote w:type="continuationSeparator" w:id="0">
    <w:p w14:paraId="3922354F" w14:textId="77777777" w:rsidR="00B138C9" w:rsidRDefault="00B1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0632F" w14:textId="77777777" w:rsidR="001F5B07" w:rsidRDefault="000A05EA">
    <w:pPr>
      <w:pStyle w:val="a3"/>
      <w:spacing w:line="14" w:lineRule="auto"/>
      <w:rPr>
        <w:sz w:val="20"/>
      </w:rPr>
    </w:pPr>
    <w:r>
      <w:rPr>
        <w:noProof/>
      </w:rPr>
      <w:drawing>
        <wp:anchor distT="0" distB="0" distL="0" distR="0" simplePos="0" relativeHeight="268397735" behindDoc="1" locked="0" layoutInCell="1" allowOverlap="1" wp14:anchorId="22AC5212" wp14:editId="47D530EA">
          <wp:simplePos x="0" y="0"/>
          <wp:positionH relativeFrom="page">
            <wp:posOffset>5824727</wp:posOffset>
          </wp:positionH>
          <wp:positionV relativeFrom="page">
            <wp:posOffset>236215</wp:posOffset>
          </wp:positionV>
          <wp:extent cx="1406651" cy="51664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06651" cy="51664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4D92A" w14:textId="77777777" w:rsidR="001F5B07" w:rsidRDefault="001F5B07">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6F3CD" w14:textId="77777777" w:rsidR="001F5B07" w:rsidRDefault="000A05EA">
    <w:pPr>
      <w:pStyle w:val="a3"/>
      <w:spacing w:line="14" w:lineRule="auto"/>
      <w:rPr>
        <w:sz w:val="20"/>
      </w:rPr>
    </w:pPr>
    <w:r>
      <w:rPr>
        <w:noProof/>
      </w:rPr>
      <w:drawing>
        <wp:anchor distT="0" distB="0" distL="0" distR="0" simplePos="0" relativeHeight="268397975" behindDoc="1" locked="0" layoutInCell="1" allowOverlap="1" wp14:anchorId="67BC44C0" wp14:editId="3CA6771B">
          <wp:simplePos x="0" y="0"/>
          <wp:positionH relativeFrom="page">
            <wp:posOffset>5824727</wp:posOffset>
          </wp:positionH>
          <wp:positionV relativeFrom="page">
            <wp:posOffset>243835</wp:posOffset>
          </wp:positionV>
          <wp:extent cx="1406651" cy="509782"/>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1406651" cy="5097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C6FD8"/>
    <w:multiLevelType w:val="hybridMultilevel"/>
    <w:tmpl w:val="16DE8DE2"/>
    <w:lvl w:ilvl="0" w:tplc="ADA4F910">
      <w:start w:val="1"/>
      <w:numFmt w:val="decimal"/>
      <w:lvlText w:val="%1."/>
      <w:lvlJc w:val="left"/>
      <w:pPr>
        <w:ind w:left="880" w:hanging="361"/>
        <w:jc w:val="left"/>
      </w:pPr>
      <w:rPr>
        <w:rFonts w:ascii="Arial" w:eastAsia="Arial" w:hAnsi="Arial" w:cs="Arial" w:hint="default"/>
        <w:w w:val="99"/>
        <w:sz w:val="22"/>
        <w:szCs w:val="22"/>
      </w:rPr>
    </w:lvl>
    <w:lvl w:ilvl="1" w:tplc="65F25A90">
      <w:numFmt w:val="bullet"/>
      <w:lvlText w:val="•"/>
      <w:lvlJc w:val="left"/>
      <w:pPr>
        <w:ind w:left="1814" w:hanging="361"/>
      </w:pPr>
      <w:rPr>
        <w:rFonts w:hint="default"/>
      </w:rPr>
    </w:lvl>
    <w:lvl w:ilvl="2" w:tplc="B0FAEB64">
      <w:numFmt w:val="bullet"/>
      <w:lvlText w:val="•"/>
      <w:lvlJc w:val="left"/>
      <w:pPr>
        <w:ind w:left="2748" w:hanging="361"/>
      </w:pPr>
      <w:rPr>
        <w:rFonts w:hint="default"/>
      </w:rPr>
    </w:lvl>
    <w:lvl w:ilvl="3" w:tplc="DC4E5B1A">
      <w:numFmt w:val="bullet"/>
      <w:lvlText w:val="•"/>
      <w:lvlJc w:val="left"/>
      <w:pPr>
        <w:ind w:left="3683" w:hanging="361"/>
      </w:pPr>
      <w:rPr>
        <w:rFonts w:hint="default"/>
      </w:rPr>
    </w:lvl>
    <w:lvl w:ilvl="4" w:tplc="754C4864">
      <w:numFmt w:val="bullet"/>
      <w:lvlText w:val="•"/>
      <w:lvlJc w:val="left"/>
      <w:pPr>
        <w:ind w:left="4617" w:hanging="361"/>
      </w:pPr>
      <w:rPr>
        <w:rFonts w:hint="default"/>
      </w:rPr>
    </w:lvl>
    <w:lvl w:ilvl="5" w:tplc="BB3EC906">
      <w:numFmt w:val="bullet"/>
      <w:lvlText w:val="•"/>
      <w:lvlJc w:val="left"/>
      <w:pPr>
        <w:ind w:left="5552" w:hanging="361"/>
      </w:pPr>
      <w:rPr>
        <w:rFonts w:hint="default"/>
      </w:rPr>
    </w:lvl>
    <w:lvl w:ilvl="6" w:tplc="6004FD32">
      <w:numFmt w:val="bullet"/>
      <w:lvlText w:val="•"/>
      <w:lvlJc w:val="left"/>
      <w:pPr>
        <w:ind w:left="6486" w:hanging="361"/>
      </w:pPr>
      <w:rPr>
        <w:rFonts w:hint="default"/>
      </w:rPr>
    </w:lvl>
    <w:lvl w:ilvl="7" w:tplc="19D6A91A">
      <w:numFmt w:val="bullet"/>
      <w:lvlText w:val="•"/>
      <w:lvlJc w:val="left"/>
      <w:pPr>
        <w:ind w:left="7421" w:hanging="361"/>
      </w:pPr>
      <w:rPr>
        <w:rFonts w:hint="default"/>
      </w:rPr>
    </w:lvl>
    <w:lvl w:ilvl="8" w:tplc="D8F239AA">
      <w:numFmt w:val="bullet"/>
      <w:lvlText w:val="•"/>
      <w:lvlJc w:val="left"/>
      <w:pPr>
        <w:ind w:left="8355" w:hanging="361"/>
      </w:pPr>
      <w:rPr>
        <w:rFonts w:hint="default"/>
      </w:rPr>
    </w:lvl>
  </w:abstractNum>
  <w:abstractNum w:abstractNumId="1" w15:restartNumberingAfterBreak="0">
    <w:nsid w:val="1A950F22"/>
    <w:multiLevelType w:val="hybridMultilevel"/>
    <w:tmpl w:val="9EDCD9AE"/>
    <w:lvl w:ilvl="0" w:tplc="816ED4C8">
      <w:start w:val="1"/>
      <w:numFmt w:val="decimal"/>
      <w:lvlText w:val="%1."/>
      <w:lvlJc w:val="left"/>
      <w:pPr>
        <w:ind w:left="879" w:hanging="360"/>
        <w:jc w:val="left"/>
      </w:pPr>
      <w:rPr>
        <w:rFonts w:ascii="Arial" w:eastAsia="Arial" w:hAnsi="Arial" w:cs="Arial" w:hint="default"/>
        <w:w w:val="99"/>
        <w:sz w:val="22"/>
        <w:szCs w:val="22"/>
      </w:rPr>
    </w:lvl>
    <w:lvl w:ilvl="1" w:tplc="A3546736">
      <w:numFmt w:val="bullet"/>
      <w:lvlText w:val="•"/>
      <w:lvlJc w:val="left"/>
      <w:pPr>
        <w:ind w:left="1814" w:hanging="360"/>
      </w:pPr>
      <w:rPr>
        <w:rFonts w:hint="default"/>
      </w:rPr>
    </w:lvl>
    <w:lvl w:ilvl="2" w:tplc="0F7A11DE">
      <w:numFmt w:val="bullet"/>
      <w:lvlText w:val="•"/>
      <w:lvlJc w:val="left"/>
      <w:pPr>
        <w:ind w:left="2748" w:hanging="360"/>
      </w:pPr>
      <w:rPr>
        <w:rFonts w:hint="default"/>
      </w:rPr>
    </w:lvl>
    <w:lvl w:ilvl="3" w:tplc="ADE23380">
      <w:numFmt w:val="bullet"/>
      <w:lvlText w:val="•"/>
      <w:lvlJc w:val="left"/>
      <w:pPr>
        <w:ind w:left="3683" w:hanging="360"/>
      </w:pPr>
      <w:rPr>
        <w:rFonts w:hint="default"/>
      </w:rPr>
    </w:lvl>
    <w:lvl w:ilvl="4" w:tplc="FEC80878">
      <w:numFmt w:val="bullet"/>
      <w:lvlText w:val="•"/>
      <w:lvlJc w:val="left"/>
      <w:pPr>
        <w:ind w:left="4617" w:hanging="360"/>
      </w:pPr>
      <w:rPr>
        <w:rFonts w:hint="default"/>
      </w:rPr>
    </w:lvl>
    <w:lvl w:ilvl="5" w:tplc="5AA2692A">
      <w:numFmt w:val="bullet"/>
      <w:lvlText w:val="•"/>
      <w:lvlJc w:val="left"/>
      <w:pPr>
        <w:ind w:left="5552" w:hanging="360"/>
      </w:pPr>
      <w:rPr>
        <w:rFonts w:hint="default"/>
      </w:rPr>
    </w:lvl>
    <w:lvl w:ilvl="6" w:tplc="0C6A7884">
      <w:numFmt w:val="bullet"/>
      <w:lvlText w:val="•"/>
      <w:lvlJc w:val="left"/>
      <w:pPr>
        <w:ind w:left="6486" w:hanging="360"/>
      </w:pPr>
      <w:rPr>
        <w:rFonts w:hint="default"/>
      </w:rPr>
    </w:lvl>
    <w:lvl w:ilvl="7" w:tplc="EA4AC95C">
      <w:numFmt w:val="bullet"/>
      <w:lvlText w:val="•"/>
      <w:lvlJc w:val="left"/>
      <w:pPr>
        <w:ind w:left="7421" w:hanging="360"/>
      </w:pPr>
      <w:rPr>
        <w:rFonts w:hint="default"/>
      </w:rPr>
    </w:lvl>
    <w:lvl w:ilvl="8" w:tplc="5EEC16FC">
      <w:numFmt w:val="bullet"/>
      <w:lvlText w:val="•"/>
      <w:lvlJc w:val="left"/>
      <w:pPr>
        <w:ind w:left="8355" w:hanging="360"/>
      </w:pPr>
      <w:rPr>
        <w:rFonts w:hint="default"/>
      </w:rPr>
    </w:lvl>
  </w:abstractNum>
  <w:abstractNum w:abstractNumId="2" w15:restartNumberingAfterBreak="0">
    <w:nsid w:val="31955BB4"/>
    <w:multiLevelType w:val="hybridMultilevel"/>
    <w:tmpl w:val="7EE20600"/>
    <w:lvl w:ilvl="0" w:tplc="7C820126">
      <w:numFmt w:val="bullet"/>
      <w:lvlText w:val=""/>
      <w:lvlJc w:val="left"/>
      <w:pPr>
        <w:ind w:left="879" w:hanging="361"/>
      </w:pPr>
      <w:rPr>
        <w:rFonts w:ascii="Symbol" w:eastAsia="Symbol" w:hAnsi="Symbol" w:cs="Symbol" w:hint="default"/>
        <w:w w:val="99"/>
        <w:sz w:val="22"/>
        <w:szCs w:val="22"/>
      </w:rPr>
    </w:lvl>
    <w:lvl w:ilvl="1" w:tplc="67A485B0">
      <w:numFmt w:val="bullet"/>
      <w:lvlText w:val="•"/>
      <w:lvlJc w:val="left"/>
      <w:pPr>
        <w:ind w:left="1814" w:hanging="361"/>
      </w:pPr>
      <w:rPr>
        <w:rFonts w:hint="default"/>
      </w:rPr>
    </w:lvl>
    <w:lvl w:ilvl="2" w:tplc="21C03B54">
      <w:numFmt w:val="bullet"/>
      <w:lvlText w:val="•"/>
      <w:lvlJc w:val="left"/>
      <w:pPr>
        <w:ind w:left="2748" w:hanging="361"/>
      </w:pPr>
      <w:rPr>
        <w:rFonts w:hint="default"/>
      </w:rPr>
    </w:lvl>
    <w:lvl w:ilvl="3" w:tplc="8E1AF5AC">
      <w:numFmt w:val="bullet"/>
      <w:lvlText w:val="•"/>
      <w:lvlJc w:val="left"/>
      <w:pPr>
        <w:ind w:left="3683" w:hanging="361"/>
      </w:pPr>
      <w:rPr>
        <w:rFonts w:hint="default"/>
      </w:rPr>
    </w:lvl>
    <w:lvl w:ilvl="4" w:tplc="85801596">
      <w:numFmt w:val="bullet"/>
      <w:lvlText w:val="•"/>
      <w:lvlJc w:val="left"/>
      <w:pPr>
        <w:ind w:left="4617" w:hanging="361"/>
      </w:pPr>
      <w:rPr>
        <w:rFonts w:hint="default"/>
      </w:rPr>
    </w:lvl>
    <w:lvl w:ilvl="5" w:tplc="8FFE69C2">
      <w:numFmt w:val="bullet"/>
      <w:lvlText w:val="•"/>
      <w:lvlJc w:val="left"/>
      <w:pPr>
        <w:ind w:left="5552" w:hanging="361"/>
      </w:pPr>
      <w:rPr>
        <w:rFonts w:hint="default"/>
      </w:rPr>
    </w:lvl>
    <w:lvl w:ilvl="6" w:tplc="9D82160C">
      <w:numFmt w:val="bullet"/>
      <w:lvlText w:val="•"/>
      <w:lvlJc w:val="left"/>
      <w:pPr>
        <w:ind w:left="6486" w:hanging="361"/>
      </w:pPr>
      <w:rPr>
        <w:rFonts w:hint="default"/>
      </w:rPr>
    </w:lvl>
    <w:lvl w:ilvl="7" w:tplc="48D43A20">
      <w:numFmt w:val="bullet"/>
      <w:lvlText w:val="•"/>
      <w:lvlJc w:val="left"/>
      <w:pPr>
        <w:ind w:left="7421" w:hanging="361"/>
      </w:pPr>
      <w:rPr>
        <w:rFonts w:hint="default"/>
      </w:rPr>
    </w:lvl>
    <w:lvl w:ilvl="8" w:tplc="2CB68AFA">
      <w:numFmt w:val="bullet"/>
      <w:lvlText w:val="•"/>
      <w:lvlJc w:val="left"/>
      <w:pPr>
        <w:ind w:left="8355" w:hanging="361"/>
      </w:pPr>
      <w:rPr>
        <w:rFonts w:hint="default"/>
      </w:rPr>
    </w:lvl>
  </w:abstractNum>
  <w:abstractNum w:abstractNumId="3" w15:restartNumberingAfterBreak="0">
    <w:nsid w:val="4EC75F86"/>
    <w:multiLevelType w:val="hybridMultilevel"/>
    <w:tmpl w:val="A2984CE0"/>
    <w:lvl w:ilvl="0" w:tplc="A13ADADC">
      <w:numFmt w:val="bullet"/>
      <w:lvlText w:val="–"/>
      <w:lvlJc w:val="left"/>
      <w:pPr>
        <w:ind w:left="161" w:hanging="159"/>
      </w:pPr>
      <w:rPr>
        <w:rFonts w:ascii="Calibri" w:eastAsia="Calibri" w:hAnsi="Calibri" w:cs="Calibri" w:hint="default"/>
        <w:w w:val="99"/>
        <w:sz w:val="22"/>
        <w:szCs w:val="22"/>
      </w:rPr>
    </w:lvl>
    <w:lvl w:ilvl="1" w:tplc="BA3AE3A2">
      <w:numFmt w:val="bullet"/>
      <w:lvlText w:val=""/>
      <w:lvlJc w:val="left"/>
      <w:pPr>
        <w:ind w:left="880" w:hanging="360"/>
      </w:pPr>
      <w:rPr>
        <w:rFonts w:ascii="Symbol" w:eastAsia="Symbol" w:hAnsi="Symbol" w:cs="Symbol" w:hint="default"/>
        <w:w w:val="99"/>
        <w:sz w:val="22"/>
        <w:szCs w:val="22"/>
      </w:rPr>
    </w:lvl>
    <w:lvl w:ilvl="2" w:tplc="4A5AF712">
      <w:numFmt w:val="bullet"/>
      <w:lvlText w:val="•"/>
      <w:lvlJc w:val="left"/>
      <w:pPr>
        <w:ind w:left="1918" w:hanging="360"/>
      </w:pPr>
      <w:rPr>
        <w:rFonts w:hint="default"/>
      </w:rPr>
    </w:lvl>
    <w:lvl w:ilvl="3" w:tplc="EFF63AEC">
      <w:numFmt w:val="bullet"/>
      <w:lvlText w:val="•"/>
      <w:lvlJc w:val="left"/>
      <w:pPr>
        <w:ind w:left="2956" w:hanging="360"/>
      </w:pPr>
      <w:rPr>
        <w:rFonts w:hint="default"/>
      </w:rPr>
    </w:lvl>
    <w:lvl w:ilvl="4" w:tplc="D31ED598">
      <w:numFmt w:val="bullet"/>
      <w:lvlText w:val="•"/>
      <w:lvlJc w:val="left"/>
      <w:pPr>
        <w:ind w:left="3994" w:hanging="360"/>
      </w:pPr>
      <w:rPr>
        <w:rFonts w:hint="default"/>
      </w:rPr>
    </w:lvl>
    <w:lvl w:ilvl="5" w:tplc="D20CD232">
      <w:numFmt w:val="bullet"/>
      <w:lvlText w:val="•"/>
      <w:lvlJc w:val="left"/>
      <w:pPr>
        <w:ind w:left="5033" w:hanging="360"/>
      </w:pPr>
      <w:rPr>
        <w:rFonts w:hint="default"/>
      </w:rPr>
    </w:lvl>
    <w:lvl w:ilvl="6" w:tplc="7F9CFC26">
      <w:numFmt w:val="bullet"/>
      <w:lvlText w:val="•"/>
      <w:lvlJc w:val="left"/>
      <w:pPr>
        <w:ind w:left="6071" w:hanging="360"/>
      </w:pPr>
      <w:rPr>
        <w:rFonts w:hint="default"/>
      </w:rPr>
    </w:lvl>
    <w:lvl w:ilvl="7" w:tplc="06E861E6">
      <w:numFmt w:val="bullet"/>
      <w:lvlText w:val="•"/>
      <w:lvlJc w:val="left"/>
      <w:pPr>
        <w:ind w:left="7109" w:hanging="360"/>
      </w:pPr>
      <w:rPr>
        <w:rFonts w:hint="default"/>
      </w:rPr>
    </w:lvl>
    <w:lvl w:ilvl="8" w:tplc="40520592">
      <w:numFmt w:val="bullet"/>
      <w:lvlText w:val="•"/>
      <w:lvlJc w:val="left"/>
      <w:pPr>
        <w:ind w:left="8147" w:hanging="36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savePreviewPicture/>
  <w:hdrShapeDefaults>
    <o:shapedefaults v:ext="edit" spidmax="207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F5B07"/>
    <w:rsid w:val="000073A0"/>
    <w:rsid w:val="000A05EA"/>
    <w:rsid w:val="001F5B07"/>
    <w:rsid w:val="00560527"/>
    <w:rsid w:val="00732801"/>
    <w:rsid w:val="009734EF"/>
    <w:rsid w:val="00B138C9"/>
    <w:rsid w:val="00D92E76"/>
    <w:rsid w:val="00F679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40398D7B"/>
  <w15:docId w15:val="{C016062E-2592-4D76-A571-2B7D932B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rPr>
  </w:style>
  <w:style w:type="paragraph" w:styleId="1">
    <w:name w:val="heading 1"/>
    <w:basedOn w:val="a"/>
    <w:uiPriority w:val="9"/>
    <w:qFormat/>
    <w:pPr>
      <w:spacing w:before="91"/>
      <w:ind w:left="160"/>
      <w:outlineLvl w:val="0"/>
    </w:pPr>
    <w:rPr>
      <w:rFonts w:ascii="Calibri" w:eastAsia="Calibri" w:hAnsi="Calibri" w:cs="Calibri"/>
      <w:b/>
      <w:bCs/>
      <w:sz w:val="28"/>
      <w:szCs w:val="28"/>
    </w:rPr>
  </w:style>
  <w:style w:type="paragraph" w:styleId="2">
    <w:name w:val="heading 2"/>
    <w:basedOn w:val="a"/>
    <w:uiPriority w:val="9"/>
    <w:unhideWhenUsed/>
    <w:qFormat/>
    <w:pPr>
      <w:ind w:left="160"/>
      <w:outlineLvl w:val="1"/>
    </w:pPr>
    <w:rPr>
      <w:rFonts w:ascii="Calibri" w:eastAsia="Calibri" w:hAnsi="Calibri" w:cs="Calibri"/>
      <w:b/>
      <w:bCs/>
      <w:sz w:val="26"/>
      <w:szCs w:val="26"/>
    </w:rPr>
  </w:style>
  <w:style w:type="paragraph" w:styleId="3">
    <w:name w:val="heading 3"/>
    <w:basedOn w:val="a"/>
    <w:uiPriority w:val="9"/>
    <w:unhideWhenUsed/>
    <w:qFormat/>
    <w:pPr>
      <w:ind w:left="160"/>
      <w:outlineLvl w:val="2"/>
    </w:pPr>
    <w:rPr>
      <w:rFonts w:ascii="Calibri" w:eastAsia="Calibri" w:hAnsi="Calibri" w:cs="Calibri"/>
      <w:b/>
      <w:bCs/>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40"/>
      <w:ind w:left="160"/>
    </w:pPr>
    <w:rPr>
      <w:rFonts w:ascii="Calibri" w:eastAsia="Calibri" w:hAnsi="Calibri" w:cs="Calibri"/>
    </w:rPr>
  </w:style>
  <w:style w:type="paragraph" w:styleId="20">
    <w:name w:val="toc 2"/>
    <w:basedOn w:val="a"/>
    <w:uiPriority w:val="1"/>
    <w:qFormat/>
    <w:pPr>
      <w:spacing w:before="140"/>
      <w:ind w:left="379"/>
    </w:pPr>
    <w:rPr>
      <w:rFonts w:ascii="Calibri" w:eastAsia="Calibri" w:hAnsi="Calibri" w:cs="Calibri"/>
    </w:rPr>
  </w:style>
  <w:style w:type="paragraph" w:styleId="a3">
    <w:name w:val="Body Text"/>
    <w:basedOn w:val="a"/>
    <w:uiPriority w:val="1"/>
    <w:qFormat/>
    <w:rPr>
      <w:rFonts w:ascii="Calibri" w:eastAsia="Calibri" w:hAnsi="Calibri" w:cs="Calibri"/>
    </w:rPr>
  </w:style>
  <w:style w:type="paragraph" w:styleId="a4">
    <w:name w:val="List Paragraph"/>
    <w:basedOn w:val="a"/>
    <w:uiPriority w:val="1"/>
    <w:qFormat/>
    <w:pPr>
      <w:spacing w:before="126"/>
      <w:ind w:left="879" w:hanging="359"/>
    </w:pPr>
    <w:rPr>
      <w:rFonts w:ascii="Calibri" w:eastAsia="Calibri" w:hAnsi="Calibri" w:cs="Calibri"/>
    </w:rPr>
  </w:style>
  <w:style w:type="paragraph" w:customStyle="1" w:styleId="TableParagraph">
    <w:name w:val="Table Paragraph"/>
    <w:basedOn w:val="a"/>
    <w:uiPriority w:val="1"/>
    <w:qFormat/>
    <w:pPr>
      <w:spacing w:before="156"/>
    </w:pPr>
  </w:style>
  <w:style w:type="paragraph" w:styleId="a5">
    <w:name w:val="header"/>
    <w:basedOn w:val="a"/>
    <w:link w:val="Char"/>
    <w:uiPriority w:val="99"/>
    <w:unhideWhenUsed/>
    <w:rsid w:val="000073A0"/>
    <w:pPr>
      <w:tabs>
        <w:tab w:val="center" w:pos="4153"/>
        <w:tab w:val="right" w:pos="8306"/>
      </w:tabs>
    </w:pPr>
  </w:style>
  <w:style w:type="character" w:customStyle="1" w:styleId="Char">
    <w:name w:val="رأس الصفحة Char"/>
    <w:basedOn w:val="a0"/>
    <w:link w:val="a5"/>
    <w:uiPriority w:val="99"/>
    <w:rsid w:val="000073A0"/>
    <w:rPr>
      <w:rFonts w:ascii="Arial" w:eastAsia="Arial" w:hAnsi="Arial" w:cs="Arial"/>
    </w:rPr>
  </w:style>
  <w:style w:type="paragraph" w:styleId="a6">
    <w:name w:val="footer"/>
    <w:basedOn w:val="a"/>
    <w:link w:val="Char0"/>
    <w:uiPriority w:val="99"/>
    <w:unhideWhenUsed/>
    <w:rsid w:val="000073A0"/>
    <w:pPr>
      <w:tabs>
        <w:tab w:val="center" w:pos="4153"/>
        <w:tab w:val="right" w:pos="8306"/>
      </w:tabs>
    </w:pPr>
  </w:style>
  <w:style w:type="character" w:customStyle="1" w:styleId="Char0">
    <w:name w:val="تذييل الصفحة Char"/>
    <w:basedOn w:val="a0"/>
    <w:link w:val="a6"/>
    <w:uiPriority w:val="99"/>
    <w:rsid w:val="000073A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ssrn.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www.cenbank.org/" TargetMode="External"/><Relationship Id="rId10" Type="http://schemas.openxmlformats.org/officeDocument/2006/relationships/footer" Target="footer3.xml"/><Relationship Id="rId19" Type="http://schemas.openxmlformats.org/officeDocument/2006/relationships/hyperlink" Target="http://ajol.info/index.php/boje/article/view/60304"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papers.nber.org/papers/w1129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895</TotalTime>
  <Pages>15</Pages>
  <Words>4002</Words>
  <Characters>22816</Characters>
  <Application>Microsoft Office Word</Application>
  <DocSecurity>0</DocSecurity>
  <Lines>190</Lines>
  <Paragraphs>53</Paragraphs>
  <ScaleCrop>false</ScaleCrop>
  <HeadingPairs>
    <vt:vector size="2" baseType="variant">
      <vt:variant>
        <vt:lpstr>العنوان</vt:lpstr>
      </vt:variant>
      <vt:variant>
        <vt:i4>1</vt:i4>
      </vt:variant>
    </vt:vector>
  </HeadingPairs>
  <TitlesOfParts>
    <vt:vector size="1" baseType="lpstr">
      <vt:lpstr>Research Proposal </vt:lpstr>
    </vt:vector>
  </TitlesOfParts>
  <Company/>
  <LinksUpToDate>false</LinksUpToDate>
  <CharactersWithSpaces>26765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c:title>
  <dc:creator>Williams, Dagogo</dc:creator>
  <cp:lastModifiedBy>Hisham almajid</cp:lastModifiedBy>
  <cp:revision>3</cp:revision>
  <dcterms:created xsi:type="dcterms:W3CDTF">2020-09-22T12:49:00Z</dcterms:created>
  <dcterms:modified xsi:type="dcterms:W3CDTF">2020-10-29T05:09:00Z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2012-09-24T00:00:00Z</vt:filetime>
  </property>
  <property fmtid="{D5CDD505-2E9C-101B-9397-08002B2CF9AE}" pid="3" name="Creator">
    <vt:lpwstr>Acrobat PDFMaker 7.0.7 for Word</vt:lpwstr>
  </property>
  <property fmtid="{D5CDD505-2E9C-101B-9397-08002B2CF9AE}" pid="4" name="LastSaved">
    <vt:filetime>2020-09-22T00:00:00Z</vt:filetime>
  </property>
</Properties>
</file>